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60" w:lineRule="exact"/>
        <w:ind w:firstLine="0" w:firstLineChars="0"/>
        <w:jc w:val="center"/>
        <w:rPr>
          <w:rFonts w:ascii="华文中宋" w:hAnsi="华文中宋" w:eastAsia="华文中宋" w:cs="华文中宋"/>
          <w:bCs/>
          <w:sz w:val="44"/>
          <w:szCs w:val="44"/>
        </w:rPr>
      </w:pPr>
    </w:p>
    <w:p>
      <w:pPr>
        <w:spacing w:line="560" w:lineRule="exact"/>
        <w:ind w:firstLine="0" w:firstLineChars="0"/>
        <w:jc w:val="center"/>
        <w:rPr>
          <w:rFonts w:ascii="华文中宋" w:hAnsi="华文中宋" w:eastAsia="华文中宋" w:cs="华文中宋"/>
          <w:bCs/>
          <w:sz w:val="44"/>
          <w:szCs w:val="44"/>
        </w:rPr>
      </w:pPr>
    </w:p>
    <w:p>
      <w:pPr>
        <w:spacing w:line="560" w:lineRule="exact"/>
        <w:ind w:firstLine="0" w:firstLineChars="0"/>
        <w:jc w:val="center"/>
        <w:rPr>
          <w:rFonts w:ascii="华文中宋" w:hAnsi="华文中宋" w:eastAsia="华文中宋" w:cs="华文中宋"/>
          <w:bCs/>
          <w:sz w:val="44"/>
          <w:szCs w:val="44"/>
        </w:rPr>
      </w:pPr>
    </w:p>
    <w:p>
      <w:pPr>
        <w:spacing w:line="560" w:lineRule="exact"/>
        <w:ind w:firstLine="0" w:firstLineChars="0"/>
        <w:jc w:val="center"/>
        <w:rPr>
          <w:rFonts w:ascii="华文中宋" w:hAnsi="华文中宋" w:eastAsia="华文中宋" w:cs="华文中宋"/>
          <w:bCs/>
          <w:sz w:val="44"/>
          <w:szCs w:val="44"/>
        </w:rPr>
      </w:pPr>
    </w:p>
    <w:p>
      <w:pPr>
        <w:spacing w:line="560" w:lineRule="exact"/>
        <w:ind w:firstLine="0" w:firstLineChars="0"/>
        <w:jc w:val="center"/>
        <w:rPr>
          <w:rFonts w:ascii="华文中宋" w:hAnsi="华文中宋" w:eastAsia="华文中宋" w:cs="华文中宋"/>
          <w:bCs/>
          <w:sz w:val="44"/>
          <w:szCs w:val="44"/>
        </w:rPr>
      </w:pPr>
      <w:r>
        <w:rPr>
          <w:rFonts w:hint="eastAsia" w:ascii="华文中宋" w:hAnsi="华文中宋" w:eastAsia="华文中宋" w:cs="华文中宋"/>
          <w:bCs/>
          <w:sz w:val="44"/>
          <w:szCs w:val="44"/>
        </w:rPr>
        <w:t>上海市第一届职业技能大赛</w:t>
      </w:r>
    </w:p>
    <w:p>
      <w:pPr>
        <w:pStyle w:val="2"/>
        <w:ind w:firstLine="880"/>
        <w:rPr>
          <w:rFonts w:ascii="华文中宋" w:hAnsi="华文中宋" w:eastAsia="华文中宋" w:cs="华文中宋"/>
          <w:bCs/>
          <w:sz w:val="44"/>
          <w:szCs w:val="44"/>
        </w:rPr>
      </w:pPr>
    </w:p>
    <w:p>
      <w:pPr>
        <w:pStyle w:val="3"/>
      </w:pPr>
    </w:p>
    <w:p>
      <w:pPr>
        <w:pStyle w:val="2"/>
        <w:ind w:firstLine="480"/>
      </w:pPr>
    </w:p>
    <w:p>
      <w:pPr>
        <w:pStyle w:val="2"/>
        <w:ind w:firstLine="0" w:firstLineChars="0"/>
        <w:jc w:val="center"/>
        <w:rPr>
          <w:rFonts w:ascii="华文中宋" w:hAnsi="华文中宋" w:eastAsia="华文中宋" w:cs="华文中宋"/>
          <w:bCs/>
          <w:sz w:val="44"/>
          <w:szCs w:val="44"/>
        </w:rPr>
      </w:pPr>
      <w:r>
        <w:rPr>
          <w:rFonts w:hint="eastAsia" w:ascii="华文中宋" w:hAnsi="华文中宋" w:eastAsia="华文中宋" w:cs="华文中宋"/>
          <w:bCs/>
          <w:sz w:val="44"/>
          <w:szCs w:val="44"/>
        </w:rPr>
        <w:t>工业机器人系统操作赛项</w:t>
      </w:r>
    </w:p>
    <w:p>
      <w:pPr>
        <w:pStyle w:val="2"/>
        <w:ind w:firstLine="0" w:firstLineChars="0"/>
        <w:jc w:val="center"/>
        <w:rPr>
          <w:rFonts w:ascii="仿宋_GB2312" w:hAnsi="仿宋_GB2312" w:eastAsia="华文中宋" w:cs="仿宋_GB2312"/>
          <w:bCs/>
          <w:sz w:val="44"/>
          <w:szCs w:val="44"/>
        </w:rPr>
      </w:pPr>
      <w:r>
        <w:rPr>
          <w:rFonts w:hint="eastAsia" w:ascii="仿宋_GB2312" w:hAnsi="仿宋_GB2312" w:eastAsia="华文中宋" w:cs="仿宋_GB2312"/>
          <w:bCs/>
          <w:sz w:val="44"/>
          <w:szCs w:val="44"/>
        </w:rPr>
        <w:t>样题</w:t>
      </w:r>
    </w:p>
    <w:p>
      <w:pPr>
        <w:pStyle w:val="3"/>
        <w:rPr>
          <w:rFonts w:hAnsi="仿宋_GB2312" w:eastAsia="华文中宋"/>
          <w:bCs/>
          <w:sz w:val="44"/>
          <w:szCs w:val="44"/>
        </w:rPr>
      </w:pPr>
    </w:p>
    <w:p>
      <w:pPr>
        <w:pStyle w:val="3"/>
        <w:rPr>
          <w:rFonts w:hAnsi="仿宋_GB2312" w:eastAsia="华文中宋"/>
          <w:bCs/>
          <w:sz w:val="44"/>
          <w:szCs w:val="44"/>
        </w:rPr>
      </w:pPr>
    </w:p>
    <w:p>
      <w:pPr>
        <w:pStyle w:val="3"/>
        <w:rPr>
          <w:rFonts w:hAnsi="仿宋_GB2312" w:eastAsia="华文中宋"/>
          <w:bCs/>
          <w:sz w:val="44"/>
          <w:szCs w:val="44"/>
        </w:rPr>
      </w:pPr>
    </w:p>
    <w:p>
      <w:pPr>
        <w:pStyle w:val="3"/>
        <w:rPr>
          <w:rFonts w:hAnsi="仿宋_GB2312" w:eastAsia="华文中宋"/>
          <w:bCs/>
          <w:sz w:val="44"/>
          <w:szCs w:val="44"/>
        </w:rPr>
      </w:pPr>
    </w:p>
    <w:p>
      <w:pPr>
        <w:pStyle w:val="3"/>
        <w:rPr>
          <w:rFonts w:hAnsi="仿宋_GB2312" w:eastAsia="华文中宋"/>
          <w:bCs/>
          <w:sz w:val="44"/>
          <w:szCs w:val="44"/>
        </w:rPr>
      </w:pPr>
    </w:p>
    <w:p>
      <w:pPr>
        <w:pStyle w:val="3"/>
        <w:rPr>
          <w:rFonts w:hAnsi="仿宋_GB2312" w:eastAsia="华文中宋"/>
          <w:bCs/>
          <w:sz w:val="44"/>
          <w:szCs w:val="44"/>
        </w:rPr>
      </w:pPr>
      <w:bookmarkStart w:id="18" w:name="_GoBack"/>
      <w:bookmarkEnd w:id="18"/>
    </w:p>
    <w:p>
      <w:pPr>
        <w:pStyle w:val="3"/>
        <w:rPr>
          <w:rFonts w:hAnsi="仿宋_GB2312" w:eastAsia="华文中宋"/>
          <w:bCs/>
          <w:sz w:val="44"/>
          <w:szCs w:val="44"/>
        </w:rPr>
      </w:pPr>
    </w:p>
    <w:p>
      <w:pPr>
        <w:pStyle w:val="3"/>
        <w:rPr>
          <w:rFonts w:hAnsi="仿宋_GB2312" w:eastAsia="华文中宋"/>
          <w:bCs/>
          <w:sz w:val="44"/>
          <w:szCs w:val="44"/>
        </w:rPr>
      </w:pPr>
    </w:p>
    <w:p>
      <w:pPr>
        <w:adjustRightInd/>
        <w:snapToGrid/>
        <w:spacing w:line="560" w:lineRule="exact"/>
        <w:ind w:firstLine="0" w:firstLineChars="0"/>
        <w:jc w:val="center"/>
        <w:rPr>
          <w:rFonts w:ascii="方正小标宋_GBK" w:eastAsia="方正小标宋_GBK"/>
          <w:sz w:val="36"/>
          <w:szCs w:val="36"/>
        </w:rPr>
      </w:pPr>
      <w:r>
        <w:rPr>
          <w:rFonts w:hint="eastAsia" w:ascii="方正小标宋_GBK" w:eastAsia="方正小标宋_GBK"/>
          <w:sz w:val="36"/>
          <w:szCs w:val="36"/>
        </w:rPr>
        <w:t>2023 年 4</w:t>
      </w:r>
      <w:r>
        <w:rPr>
          <w:rFonts w:ascii="方正小标宋_GBK" w:eastAsia="方正小标宋_GBK"/>
          <w:sz w:val="36"/>
          <w:szCs w:val="36"/>
        </w:rPr>
        <w:t xml:space="preserve"> </w:t>
      </w:r>
      <w:r>
        <w:rPr>
          <w:rFonts w:hint="eastAsia" w:ascii="方正小标宋_GBK" w:eastAsia="方正小标宋_GBK"/>
          <w:sz w:val="36"/>
          <w:szCs w:val="36"/>
        </w:rPr>
        <w:t>月</w:t>
      </w:r>
    </w:p>
    <w:p>
      <w:pPr>
        <w:pStyle w:val="2"/>
        <w:ind w:firstLine="720"/>
        <w:rPr>
          <w:rFonts w:ascii="方正小标宋_GBK" w:eastAsia="方正小标宋_GBK"/>
          <w:sz w:val="36"/>
          <w:szCs w:val="36"/>
        </w:rPr>
      </w:pPr>
    </w:p>
    <w:p>
      <w:pPr>
        <w:ind w:firstLine="480"/>
      </w:pPr>
    </w:p>
    <w:p>
      <w:pPr>
        <w:autoSpaceDE w:val="0"/>
        <w:autoSpaceDN w:val="0"/>
        <w:snapToGrid/>
        <w:spacing w:line="560" w:lineRule="exact"/>
        <w:ind w:right="-94" w:firstLine="0" w:firstLineChars="0"/>
        <w:jc w:val="center"/>
        <w:rPr>
          <w:rFonts w:ascii="仿宋_GB2312" w:hAnsi="Arial" w:eastAsia="仿宋_GB2312" w:cs="微软雅黑"/>
          <w:b/>
          <w:bCs/>
          <w:spacing w:val="2"/>
          <w:kern w:val="0"/>
          <w:sz w:val="32"/>
          <w:szCs w:val="32"/>
        </w:rPr>
        <w:sectPr>
          <w:headerReference r:id="rId7" w:type="first"/>
          <w:footerReference r:id="rId10" w:type="first"/>
          <w:headerReference r:id="rId5" w:type="default"/>
          <w:footerReference r:id="rId8" w:type="default"/>
          <w:headerReference r:id="rId6" w:type="even"/>
          <w:footerReference r:id="rId9" w:type="even"/>
          <w:pgSz w:w="11906" w:h="16838"/>
          <w:pgMar w:top="1440" w:right="1644" w:bottom="1440" w:left="1644" w:header="851" w:footer="992" w:gutter="0"/>
          <w:pgNumType w:start="1"/>
          <w:cols w:space="425" w:num="1"/>
          <w:docGrid w:type="lines" w:linePitch="312" w:charSpace="0"/>
        </w:sectPr>
      </w:pPr>
    </w:p>
    <w:p>
      <w:pPr>
        <w:autoSpaceDE w:val="0"/>
        <w:autoSpaceDN w:val="0"/>
        <w:snapToGrid/>
        <w:spacing w:line="560" w:lineRule="exact"/>
        <w:ind w:right="-94" w:firstLine="0" w:firstLineChars="0"/>
        <w:jc w:val="center"/>
        <w:rPr>
          <w:rFonts w:ascii="仿宋_GB2312" w:hAnsi="Arial" w:eastAsia="仿宋_GB2312" w:cs="微软雅黑"/>
          <w:b/>
          <w:bCs/>
          <w:kern w:val="0"/>
          <w:sz w:val="32"/>
          <w:szCs w:val="32"/>
        </w:rPr>
      </w:pPr>
      <w:r>
        <w:rPr>
          <w:rFonts w:hint="eastAsia" w:ascii="仿宋_GB2312" w:hAnsi="Arial" w:eastAsia="仿宋_GB2312" w:cs="微软雅黑"/>
          <w:b/>
          <w:bCs/>
          <w:spacing w:val="2"/>
          <w:kern w:val="0"/>
          <w:sz w:val="32"/>
          <w:szCs w:val="32"/>
        </w:rPr>
        <w:t>重要</w:t>
      </w:r>
      <w:r>
        <w:rPr>
          <w:rFonts w:hint="eastAsia" w:ascii="仿宋_GB2312" w:hAnsi="Arial" w:eastAsia="仿宋_GB2312" w:cs="微软雅黑"/>
          <w:b/>
          <w:bCs/>
          <w:kern w:val="0"/>
          <w:sz w:val="32"/>
          <w:szCs w:val="32"/>
        </w:rPr>
        <w:t>说明</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1.比赛时间18</w:t>
      </w:r>
      <w:r>
        <w:rPr>
          <w:rFonts w:ascii="仿宋_GB2312" w:hAnsi="Arial" w:eastAsia="仿宋_GB2312" w:cs="微软雅黑"/>
          <w:kern w:val="0"/>
          <w:sz w:val="28"/>
          <w:szCs w:val="28"/>
        </w:rPr>
        <w:t>0</w:t>
      </w:r>
      <w:r>
        <w:rPr>
          <w:rFonts w:hint="eastAsia" w:ascii="仿宋_GB2312" w:hAnsi="Arial" w:eastAsia="仿宋_GB2312" w:cs="微软雅黑"/>
          <w:kern w:val="0"/>
          <w:sz w:val="28"/>
          <w:szCs w:val="28"/>
        </w:rPr>
        <w:t>分钟，选手可以弃赛，但不可提前离开赛场场地，需要在赛位指定位置，与比赛设备隔离。</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2.比赛共包括</w:t>
      </w:r>
      <w:r>
        <w:rPr>
          <w:rFonts w:ascii="仿宋_GB2312" w:hAnsi="Arial" w:eastAsia="仿宋_GB2312" w:cs="微软雅黑"/>
          <w:kern w:val="0"/>
          <w:sz w:val="28"/>
          <w:szCs w:val="28"/>
        </w:rPr>
        <w:t>5</w:t>
      </w:r>
      <w:r>
        <w:rPr>
          <w:rFonts w:hint="eastAsia" w:ascii="仿宋_GB2312" w:hAnsi="Arial" w:eastAsia="仿宋_GB2312" w:cs="微软雅黑"/>
          <w:kern w:val="0"/>
          <w:sz w:val="28"/>
          <w:szCs w:val="28"/>
        </w:rPr>
        <w:t>个任务，总分100分，见表1。</w:t>
      </w:r>
    </w:p>
    <w:p>
      <w:pPr>
        <w:autoSpaceDE w:val="0"/>
        <w:autoSpaceDN w:val="0"/>
        <w:snapToGrid/>
        <w:spacing w:line="560" w:lineRule="exact"/>
        <w:ind w:firstLine="564"/>
        <w:jc w:val="center"/>
        <w:rPr>
          <w:rFonts w:ascii="仿宋_GB2312" w:hAnsi="Arial" w:eastAsia="仿宋_GB2312" w:cs="Arial"/>
          <w:spacing w:val="1"/>
          <w:kern w:val="0"/>
          <w:sz w:val="28"/>
          <w:szCs w:val="28"/>
        </w:rPr>
      </w:pPr>
      <w:r>
        <w:rPr>
          <w:rFonts w:hint="eastAsia" w:ascii="仿宋_GB2312" w:hAnsi="Arial" w:eastAsia="仿宋_GB2312" w:cs="Arial"/>
          <w:spacing w:val="1"/>
          <w:kern w:val="0"/>
          <w:sz w:val="28"/>
          <w:szCs w:val="28"/>
        </w:rPr>
        <w:t>表 1</w:t>
      </w:r>
      <w:r>
        <w:rPr>
          <w:rFonts w:hint="eastAsia" w:ascii="仿宋_GB2312" w:hAnsi="Arial" w:eastAsia="仿宋_GB2312" w:cs="Arial"/>
          <w:spacing w:val="1"/>
          <w:kern w:val="0"/>
          <w:sz w:val="28"/>
          <w:szCs w:val="28"/>
        </w:rPr>
        <w:tab/>
      </w:r>
      <w:r>
        <w:rPr>
          <w:rFonts w:hint="eastAsia" w:ascii="仿宋_GB2312" w:hAnsi="Arial" w:eastAsia="仿宋_GB2312" w:cs="Arial"/>
          <w:spacing w:val="1"/>
          <w:kern w:val="0"/>
          <w:sz w:val="28"/>
          <w:szCs w:val="28"/>
        </w:rPr>
        <w:t>比赛任务及配分</w:t>
      </w:r>
    </w:p>
    <w:tbl>
      <w:tblPr>
        <w:tblStyle w:val="20"/>
        <w:tblW w:w="4998" w:type="pct"/>
        <w:jc w:val="center"/>
        <w:tblLayout w:type="autofit"/>
        <w:tblCellMar>
          <w:top w:w="0" w:type="dxa"/>
          <w:left w:w="0" w:type="dxa"/>
          <w:bottom w:w="0" w:type="dxa"/>
          <w:right w:w="0" w:type="dxa"/>
        </w:tblCellMar>
      </w:tblPr>
      <w:tblGrid>
        <w:gridCol w:w="1035"/>
        <w:gridCol w:w="5732"/>
        <w:gridCol w:w="949"/>
        <w:gridCol w:w="909"/>
      </w:tblGrid>
      <w:tr>
        <w:tblPrEx>
          <w:tblCellMar>
            <w:top w:w="0" w:type="dxa"/>
            <w:left w:w="0" w:type="dxa"/>
            <w:bottom w:w="0" w:type="dxa"/>
            <w:right w:w="0" w:type="dxa"/>
          </w:tblCellMar>
        </w:tblPrEx>
        <w:trPr>
          <w:trHeight w:val="454" w:hRule="exact"/>
          <w:jc w:val="center"/>
        </w:trPr>
        <w:tc>
          <w:tcPr>
            <w:tcW w:w="600"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r>
              <w:rPr>
                <w:rFonts w:ascii="Times New Roman" w:hAnsi="Times New Roman" w:eastAsia="仿宋_GB2312"/>
                <w:sz w:val="21"/>
                <w:szCs w:val="21"/>
              </w:rPr>
              <w:t>序号</w:t>
            </w:r>
          </w:p>
        </w:tc>
        <w:tc>
          <w:tcPr>
            <w:tcW w:w="3322"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r>
              <w:rPr>
                <w:rFonts w:ascii="Times New Roman" w:hAnsi="Times New Roman" w:eastAsia="仿宋_GB2312"/>
                <w:sz w:val="21"/>
                <w:szCs w:val="21"/>
              </w:rPr>
              <w:t>名称</w:t>
            </w:r>
          </w:p>
        </w:tc>
        <w:tc>
          <w:tcPr>
            <w:tcW w:w="550"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r>
              <w:rPr>
                <w:rFonts w:ascii="Times New Roman" w:hAnsi="Times New Roman" w:eastAsia="仿宋_GB2312"/>
                <w:sz w:val="21"/>
                <w:szCs w:val="21"/>
              </w:rPr>
              <w:t>配分</w:t>
            </w:r>
          </w:p>
        </w:tc>
        <w:tc>
          <w:tcPr>
            <w:tcW w:w="526"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r>
              <w:rPr>
                <w:rFonts w:ascii="Times New Roman" w:hAnsi="Times New Roman" w:eastAsia="仿宋_GB2312"/>
                <w:sz w:val="21"/>
                <w:szCs w:val="21"/>
              </w:rPr>
              <w:t>说明</w:t>
            </w:r>
          </w:p>
        </w:tc>
      </w:tr>
      <w:tr>
        <w:tblPrEx>
          <w:tblCellMar>
            <w:top w:w="0" w:type="dxa"/>
            <w:left w:w="0" w:type="dxa"/>
            <w:bottom w:w="0" w:type="dxa"/>
            <w:right w:w="0" w:type="dxa"/>
          </w:tblCellMar>
        </w:tblPrEx>
        <w:trPr>
          <w:trHeight w:val="577" w:hRule="exact"/>
          <w:jc w:val="center"/>
        </w:trPr>
        <w:tc>
          <w:tcPr>
            <w:tcW w:w="600"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r>
              <w:rPr>
                <w:rFonts w:ascii="Times New Roman" w:hAnsi="Times New Roman" w:eastAsia="仿宋_GB2312"/>
                <w:sz w:val="21"/>
                <w:szCs w:val="21"/>
              </w:rPr>
              <w:t>1</w:t>
            </w:r>
          </w:p>
        </w:tc>
        <w:tc>
          <w:tcPr>
            <w:tcW w:w="3322"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left"/>
              <w:rPr>
                <w:rFonts w:ascii="Times New Roman" w:hAnsi="Times New Roman" w:eastAsia="仿宋_GB2312"/>
                <w:sz w:val="21"/>
                <w:szCs w:val="21"/>
              </w:rPr>
            </w:pPr>
            <w:r>
              <w:rPr>
                <w:rFonts w:ascii="Times New Roman" w:hAnsi="Times New Roman" w:eastAsia="仿宋_GB2312"/>
                <w:sz w:val="21"/>
                <w:szCs w:val="21"/>
              </w:rPr>
              <w:t>任务 1：工业机器人系统硬件装配与调试</w:t>
            </w:r>
          </w:p>
        </w:tc>
        <w:tc>
          <w:tcPr>
            <w:tcW w:w="550"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r>
              <w:rPr>
                <w:rFonts w:ascii="Times New Roman" w:hAnsi="Times New Roman" w:eastAsia="仿宋_GB2312"/>
                <w:sz w:val="21"/>
                <w:szCs w:val="21"/>
              </w:rPr>
              <w:t>20</w:t>
            </w:r>
          </w:p>
        </w:tc>
        <w:tc>
          <w:tcPr>
            <w:tcW w:w="526"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p>
        </w:tc>
      </w:tr>
      <w:tr>
        <w:tblPrEx>
          <w:tblCellMar>
            <w:top w:w="0" w:type="dxa"/>
            <w:left w:w="0" w:type="dxa"/>
            <w:bottom w:w="0" w:type="dxa"/>
            <w:right w:w="0" w:type="dxa"/>
          </w:tblCellMar>
        </w:tblPrEx>
        <w:trPr>
          <w:trHeight w:val="454" w:hRule="exact"/>
          <w:jc w:val="center"/>
        </w:trPr>
        <w:tc>
          <w:tcPr>
            <w:tcW w:w="600"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r>
              <w:rPr>
                <w:rFonts w:ascii="Times New Roman" w:hAnsi="Times New Roman" w:eastAsia="仿宋_GB2312"/>
                <w:sz w:val="21"/>
                <w:szCs w:val="21"/>
              </w:rPr>
              <w:t>2</w:t>
            </w:r>
          </w:p>
        </w:tc>
        <w:tc>
          <w:tcPr>
            <w:tcW w:w="3322"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left"/>
              <w:rPr>
                <w:rFonts w:ascii="Times New Roman" w:hAnsi="Times New Roman" w:eastAsia="仿宋_GB2312"/>
                <w:sz w:val="21"/>
                <w:szCs w:val="21"/>
              </w:rPr>
            </w:pPr>
            <w:r>
              <w:rPr>
                <w:rFonts w:ascii="Times New Roman" w:hAnsi="Times New Roman" w:eastAsia="仿宋_GB2312"/>
                <w:sz w:val="21"/>
                <w:szCs w:val="21"/>
              </w:rPr>
              <w:t>任务 2：工业机器人系统离线仿真</w:t>
            </w:r>
          </w:p>
        </w:tc>
        <w:tc>
          <w:tcPr>
            <w:tcW w:w="550"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r>
              <w:rPr>
                <w:rFonts w:ascii="Times New Roman" w:hAnsi="Times New Roman" w:eastAsia="仿宋_GB2312"/>
                <w:sz w:val="21"/>
                <w:szCs w:val="21"/>
              </w:rPr>
              <w:t>15</w:t>
            </w:r>
          </w:p>
        </w:tc>
        <w:tc>
          <w:tcPr>
            <w:tcW w:w="526"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p>
        </w:tc>
      </w:tr>
      <w:tr>
        <w:tblPrEx>
          <w:tblCellMar>
            <w:top w:w="0" w:type="dxa"/>
            <w:left w:w="0" w:type="dxa"/>
            <w:bottom w:w="0" w:type="dxa"/>
            <w:right w:w="0" w:type="dxa"/>
          </w:tblCellMar>
        </w:tblPrEx>
        <w:trPr>
          <w:trHeight w:val="454" w:hRule="exact"/>
          <w:jc w:val="center"/>
        </w:trPr>
        <w:tc>
          <w:tcPr>
            <w:tcW w:w="600"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r>
              <w:rPr>
                <w:rFonts w:ascii="Times New Roman" w:hAnsi="Times New Roman" w:eastAsia="仿宋_GB2312"/>
                <w:sz w:val="21"/>
                <w:szCs w:val="21"/>
              </w:rPr>
              <w:t>3</w:t>
            </w:r>
          </w:p>
        </w:tc>
        <w:tc>
          <w:tcPr>
            <w:tcW w:w="3322"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left"/>
              <w:rPr>
                <w:rFonts w:ascii="Times New Roman" w:hAnsi="Times New Roman" w:eastAsia="仿宋_GB2312"/>
                <w:sz w:val="21"/>
                <w:szCs w:val="21"/>
              </w:rPr>
            </w:pPr>
            <w:r>
              <w:rPr>
                <w:rFonts w:ascii="Times New Roman" w:hAnsi="Times New Roman" w:eastAsia="仿宋_GB2312"/>
                <w:sz w:val="21"/>
                <w:szCs w:val="21"/>
              </w:rPr>
              <w:t>任务 3：工业机器人系统编程与调试</w:t>
            </w:r>
          </w:p>
        </w:tc>
        <w:tc>
          <w:tcPr>
            <w:tcW w:w="550"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r>
              <w:rPr>
                <w:rFonts w:ascii="Times New Roman" w:hAnsi="Times New Roman" w:eastAsia="仿宋_GB2312"/>
                <w:sz w:val="21"/>
                <w:szCs w:val="21"/>
              </w:rPr>
              <w:t>30</w:t>
            </w:r>
          </w:p>
        </w:tc>
        <w:tc>
          <w:tcPr>
            <w:tcW w:w="526"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p>
        </w:tc>
      </w:tr>
      <w:tr>
        <w:tblPrEx>
          <w:tblCellMar>
            <w:top w:w="0" w:type="dxa"/>
            <w:left w:w="0" w:type="dxa"/>
            <w:bottom w:w="0" w:type="dxa"/>
            <w:right w:w="0" w:type="dxa"/>
          </w:tblCellMar>
        </w:tblPrEx>
        <w:trPr>
          <w:trHeight w:val="454" w:hRule="exact"/>
          <w:jc w:val="center"/>
        </w:trPr>
        <w:tc>
          <w:tcPr>
            <w:tcW w:w="600"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r>
              <w:rPr>
                <w:rFonts w:ascii="Times New Roman" w:hAnsi="Times New Roman" w:eastAsia="仿宋_GB2312"/>
                <w:sz w:val="21"/>
                <w:szCs w:val="21"/>
              </w:rPr>
              <w:t>4</w:t>
            </w:r>
          </w:p>
        </w:tc>
        <w:tc>
          <w:tcPr>
            <w:tcW w:w="3322"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left"/>
              <w:rPr>
                <w:rFonts w:ascii="Times New Roman" w:hAnsi="Times New Roman" w:eastAsia="仿宋_GB2312"/>
                <w:sz w:val="21"/>
                <w:szCs w:val="21"/>
              </w:rPr>
            </w:pPr>
            <w:r>
              <w:rPr>
                <w:rFonts w:ascii="Times New Roman" w:hAnsi="Times New Roman" w:eastAsia="仿宋_GB2312"/>
                <w:sz w:val="21"/>
                <w:szCs w:val="21"/>
              </w:rPr>
              <w:t>任务 4：工业机器人系统综合应用</w:t>
            </w:r>
          </w:p>
        </w:tc>
        <w:tc>
          <w:tcPr>
            <w:tcW w:w="550"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r>
              <w:rPr>
                <w:rFonts w:ascii="Times New Roman" w:hAnsi="Times New Roman" w:eastAsia="仿宋_GB2312"/>
                <w:sz w:val="21"/>
                <w:szCs w:val="21"/>
              </w:rPr>
              <w:t>30</w:t>
            </w:r>
          </w:p>
        </w:tc>
        <w:tc>
          <w:tcPr>
            <w:tcW w:w="526"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p>
        </w:tc>
      </w:tr>
      <w:tr>
        <w:tblPrEx>
          <w:tblCellMar>
            <w:top w:w="0" w:type="dxa"/>
            <w:left w:w="0" w:type="dxa"/>
            <w:bottom w:w="0" w:type="dxa"/>
            <w:right w:w="0" w:type="dxa"/>
          </w:tblCellMar>
        </w:tblPrEx>
        <w:trPr>
          <w:trHeight w:val="454" w:hRule="exact"/>
          <w:jc w:val="center"/>
        </w:trPr>
        <w:tc>
          <w:tcPr>
            <w:tcW w:w="600"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r>
              <w:rPr>
                <w:rFonts w:ascii="Times New Roman" w:hAnsi="Times New Roman" w:eastAsia="仿宋_GB2312"/>
                <w:sz w:val="21"/>
                <w:szCs w:val="21"/>
              </w:rPr>
              <w:t>5</w:t>
            </w:r>
          </w:p>
        </w:tc>
        <w:tc>
          <w:tcPr>
            <w:tcW w:w="3322"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left"/>
              <w:rPr>
                <w:rFonts w:ascii="Times New Roman" w:hAnsi="Times New Roman" w:eastAsia="仿宋_GB2312"/>
                <w:sz w:val="21"/>
                <w:szCs w:val="21"/>
              </w:rPr>
            </w:pPr>
            <w:r>
              <w:rPr>
                <w:rFonts w:ascii="Times New Roman" w:hAnsi="Times New Roman" w:eastAsia="仿宋_GB2312"/>
                <w:sz w:val="21"/>
                <w:szCs w:val="21"/>
              </w:rPr>
              <w:t>任务 5：项目组织与管理</w:t>
            </w:r>
          </w:p>
        </w:tc>
        <w:tc>
          <w:tcPr>
            <w:tcW w:w="550"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r>
              <w:rPr>
                <w:rFonts w:ascii="Times New Roman" w:hAnsi="Times New Roman" w:eastAsia="仿宋_GB2312"/>
                <w:sz w:val="21"/>
                <w:szCs w:val="21"/>
              </w:rPr>
              <w:t>5</w:t>
            </w:r>
          </w:p>
        </w:tc>
        <w:tc>
          <w:tcPr>
            <w:tcW w:w="526"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p>
        </w:tc>
      </w:tr>
      <w:tr>
        <w:tblPrEx>
          <w:tblCellMar>
            <w:top w:w="0" w:type="dxa"/>
            <w:left w:w="0" w:type="dxa"/>
            <w:bottom w:w="0" w:type="dxa"/>
            <w:right w:w="0" w:type="dxa"/>
          </w:tblCellMar>
        </w:tblPrEx>
        <w:trPr>
          <w:trHeight w:val="454" w:hRule="exact"/>
          <w:jc w:val="center"/>
        </w:trPr>
        <w:tc>
          <w:tcPr>
            <w:tcW w:w="600"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r>
              <w:rPr>
                <w:rFonts w:ascii="Times New Roman" w:hAnsi="Times New Roman" w:eastAsia="仿宋_GB2312"/>
                <w:sz w:val="21"/>
                <w:szCs w:val="21"/>
              </w:rPr>
              <w:t>6</w:t>
            </w:r>
          </w:p>
        </w:tc>
        <w:tc>
          <w:tcPr>
            <w:tcW w:w="3322"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r>
              <w:rPr>
                <w:rFonts w:ascii="Times New Roman" w:hAnsi="Times New Roman" w:eastAsia="仿宋_GB2312"/>
                <w:sz w:val="21"/>
                <w:szCs w:val="21"/>
              </w:rPr>
              <w:t>合计</w:t>
            </w:r>
          </w:p>
        </w:tc>
        <w:tc>
          <w:tcPr>
            <w:tcW w:w="550"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r>
              <w:rPr>
                <w:rFonts w:ascii="Times New Roman" w:hAnsi="Times New Roman" w:eastAsia="仿宋_GB2312"/>
                <w:sz w:val="21"/>
                <w:szCs w:val="21"/>
              </w:rPr>
              <w:t>100</w:t>
            </w:r>
          </w:p>
        </w:tc>
        <w:tc>
          <w:tcPr>
            <w:tcW w:w="526"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sz w:val="21"/>
                <w:szCs w:val="21"/>
              </w:rPr>
            </w:pPr>
          </w:p>
        </w:tc>
      </w:tr>
    </w:tbl>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3.请务必阅读各任务的重要提示。</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4.比赛过程中，若发生危及设备或人身安全事故，立即停止比赛，并取消其参赛资格。</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5.比赛所需要的资料都以电子版的形式保存在计算机里指定位置E:\ZL文件夹中,MES变量表、打标模板图片、电气原理图、气动原理图、机械装配图、伺服手册、设备资料等。</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6.选手在竞赛过程中应该遵守相关的规章制度和安全守则，如有违反，则按照相关规定在竞赛的总成绩中扣除相应分值。</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7.选手在比赛开始前，认真对照材料清单检查工位设备和耗材，确认无误后开始比赛。</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8.赛题中所有要求备份的文件请备份到E:\2022DS\文件夹下。</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9.在比赛结束后，需要裁判验收各项任务，且裁判只验收1次，请根据赛题说明，确认每项需要评判任务均能展示结果。</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10.选手严禁携带和使用任何通讯、存储设备及规定外的技术资料，如有发现将取消其竞赛资格。选手擅自离开本参赛队赛位或者与其他赛位的选手交流或者在赛场大声喧哗，严重影响赛场秩序的，将取消其竞赛资格。</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11.选手必须及时保存自己编写的程序及资料，防止意外断电及其它情况造成程序或资料丢失，</w:t>
      </w:r>
      <w:r>
        <w:rPr>
          <w:rFonts w:hint="eastAsia" w:ascii="仿宋_GB2312" w:hAnsi="Arial" w:eastAsia="仿宋_GB2312" w:cs="微软雅黑"/>
          <w:b/>
          <w:bCs/>
          <w:kern w:val="0"/>
          <w:sz w:val="28"/>
          <w:szCs w:val="28"/>
        </w:rPr>
        <w:t>因以上原因导致的程序或资料丢失，由选手自行负责，不再额外进行补时</w:t>
      </w:r>
      <w:r>
        <w:rPr>
          <w:rFonts w:hint="eastAsia" w:ascii="仿宋_GB2312" w:hAnsi="Arial" w:eastAsia="仿宋_GB2312" w:cs="微软雅黑"/>
          <w:kern w:val="0"/>
          <w:sz w:val="28"/>
          <w:szCs w:val="28"/>
        </w:rPr>
        <w:t>。</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 xml:space="preserve">12.赛场提供的任何物品，不得带离赛场。 </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13.大赛平台硬件由六轴工业机器人搬运装配单元（以下简称生产单元）、自动化仓储单元（以下简称仓储单元）、AGV转运单元和控制系统（PLC、网络层套件）组成，软件主要由机器人离线仿真软件、PLC编程软件、触摸屏编程软件、生产制造执行系统软件、打标机软件、视觉编程软件组成。</w:t>
      </w:r>
    </w:p>
    <w:p>
      <w:pPr>
        <w:autoSpaceDE w:val="0"/>
        <w:autoSpaceDN w:val="0"/>
        <w:snapToGrid/>
        <w:spacing w:before="47" w:line="240" w:lineRule="auto"/>
        <w:ind w:right="-20" w:firstLine="0" w:firstLineChars="0"/>
        <w:jc w:val="left"/>
        <w:rPr>
          <w:sz w:val="21"/>
          <w:szCs w:val="24"/>
        </w:rPr>
      </w:pPr>
      <w:r>
        <w:rPr>
          <w:rFonts w:hint="eastAsia"/>
          <w:sz w:val="21"/>
          <w:szCs w:val="24"/>
        </w:rPr>
        <w:drawing>
          <wp:inline distT="0" distB="0" distL="114300" distR="114300">
            <wp:extent cx="5296535" cy="3034665"/>
            <wp:effectExtent l="0" t="0" r="0" b="13335"/>
            <wp:docPr id="33" name="图片 33" descr="DLIM-112设备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DLIM-112设备图"/>
                    <pic:cNvPicPr>
                      <a:picLocks noChangeAspect="1"/>
                    </pic:cNvPicPr>
                  </pic:nvPicPr>
                  <pic:blipFill>
                    <a:blip r:embed="rId13"/>
                    <a:srcRect t="5330" b="13675"/>
                    <a:stretch>
                      <a:fillRect/>
                    </a:stretch>
                  </pic:blipFill>
                  <pic:spPr>
                    <a:xfrm>
                      <a:off x="0" y="0"/>
                      <a:ext cx="5296535" cy="3034665"/>
                    </a:xfrm>
                    <a:prstGeom prst="rect">
                      <a:avLst/>
                    </a:prstGeom>
                  </pic:spPr>
                </pic:pic>
              </a:graphicData>
            </a:graphic>
          </wp:inline>
        </w:drawing>
      </w:r>
    </w:p>
    <w:p>
      <w:pPr>
        <w:ind w:firstLine="420"/>
        <w:rPr>
          <w:sz w:val="21"/>
          <w:szCs w:val="24"/>
        </w:rPr>
      </w:pPr>
      <w:r>
        <w:rPr>
          <w:rFonts w:hint="eastAsia"/>
          <w:sz w:val="21"/>
          <w:szCs w:val="24"/>
        </w:rPr>
        <w:br w:type="page"/>
      </w:r>
    </w:p>
    <w:p>
      <w:pPr>
        <w:spacing w:before="120"/>
        <w:ind w:firstLine="0" w:firstLineChars="0"/>
        <w:rPr>
          <w:rFonts w:hint="eastAsia" w:ascii="仿宋_GB2312" w:hAnsi="仿宋" w:eastAsia="仿宋_GB2312"/>
          <w:b/>
          <w:bCs/>
          <w:sz w:val="28"/>
          <w:szCs w:val="28"/>
        </w:rPr>
      </w:pPr>
      <w:bookmarkStart w:id="0" w:name="_Toc11307"/>
      <w:r>
        <w:rPr>
          <w:rFonts w:hint="eastAsia" w:ascii="仿宋_GB2312" w:hAnsi="仿宋" w:eastAsia="仿宋_GB2312"/>
          <w:b/>
          <w:bCs/>
          <w:sz w:val="28"/>
          <w:szCs w:val="28"/>
        </w:rPr>
        <w:t>任务（一） 工业机器人系统硬件装配与调试</w:t>
      </w:r>
      <w:bookmarkEnd w:id="0"/>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选手根据提供的六轴吸盘的机械装配图、电气原理图、气动原理图，完成工业机器人系统硬件装配与调试。</w:t>
      </w:r>
    </w:p>
    <w:p>
      <w:pPr>
        <w:autoSpaceDE w:val="0"/>
        <w:autoSpaceDN w:val="0"/>
        <w:snapToGrid/>
        <w:spacing w:line="560" w:lineRule="exact"/>
        <w:ind w:firstLine="562"/>
        <w:jc w:val="left"/>
        <w:rPr>
          <w:rFonts w:ascii="仿宋_GB2312" w:hAnsi="Arial" w:eastAsia="仿宋_GB2312" w:cs="微软雅黑"/>
          <w:b/>
          <w:bCs/>
          <w:kern w:val="0"/>
          <w:sz w:val="28"/>
          <w:szCs w:val="28"/>
        </w:rPr>
      </w:pPr>
      <w:bookmarkStart w:id="1" w:name="_Toc6798"/>
      <w:r>
        <w:rPr>
          <w:rFonts w:hint="eastAsia" w:ascii="仿宋_GB2312" w:hAnsi="Arial" w:eastAsia="仿宋_GB2312" w:cs="微软雅黑"/>
          <w:b/>
          <w:bCs/>
          <w:kern w:val="0"/>
          <w:sz w:val="28"/>
          <w:szCs w:val="28"/>
        </w:rPr>
        <w:t>1.系统硬件装配</w:t>
      </w:r>
      <w:bookmarkEnd w:id="1"/>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任务描述：</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选手根据六轴吸盘的机械装配图，完成工业机器人真空吸盘装置的安装；根据电磁阀气动原理图，完成真空吸盘气路连接。能够通过YV5和YV6气动电磁阀强制按键吸取底盒大于2秒。</w:t>
      </w:r>
    </w:p>
    <w:p>
      <w:pPr>
        <w:spacing w:before="120"/>
        <w:ind w:firstLine="0" w:firstLineChars="0"/>
        <w:rPr>
          <w:rFonts w:ascii="Arial" w:hAnsi="Arial"/>
          <w:szCs w:val="24"/>
        </w:rPr>
      </w:pPr>
      <w:r>
        <w:rPr>
          <w:rFonts w:ascii="Arial" w:hAnsi="Arial"/>
          <w:szCs w:val="24"/>
        </w:rPr>
        <w:drawing>
          <wp:inline distT="0" distB="0" distL="114300" distR="114300">
            <wp:extent cx="5283200" cy="3746500"/>
            <wp:effectExtent l="0" t="0" r="5080" b="2540"/>
            <wp:docPr id="11" name="图片 2" descr="企业微信截图_16373924057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descr="企业微信截图_16373924057105"/>
                    <pic:cNvPicPr>
                      <a:picLocks noChangeAspect="1"/>
                    </pic:cNvPicPr>
                  </pic:nvPicPr>
                  <pic:blipFill>
                    <a:blip r:embed="rId14"/>
                    <a:stretch>
                      <a:fillRect/>
                    </a:stretch>
                  </pic:blipFill>
                  <pic:spPr>
                    <a:xfrm>
                      <a:off x="0" y="0"/>
                      <a:ext cx="5283200" cy="3746500"/>
                    </a:xfrm>
                    <a:prstGeom prst="rect">
                      <a:avLst/>
                    </a:prstGeom>
                    <a:noFill/>
                    <a:ln>
                      <a:noFill/>
                    </a:ln>
                  </pic:spPr>
                </pic:pic>
              </a:graphicData>
            </a:graphic>
          </wp:inline>
        </w:drawing>
      </w:r>
    </w:p>
    <w:p>
      <w:pPr>
        <w:adjustRightInd/>
        <w:snapToGrid/>
        <w:spacing w:line="240" w:lineRule="auto"/>
        <w:ind w:firstLine="0" w:firstLineChars="0"/>
        <w:jc w:val="center"/>
        <w:rPr>
          <w:sz w:val="21"/>
          <w:szCs w:val="24"/>
        </w:rPr>
      </w:pPr>
      <w:r>
        <w:rPr>
          <w:rFonts w:ascii="宋体" w:hAnsi="宋体" w:cs="宋体"/>
          <w:szCs w:val="24"/>
        </w:rPr>
        <w:drawing>
          <wp:inline distT="0" distB="0" distL="114300" distR="114300">
            <wp:extent cx="5106670" cy="3778885"/>
            <wp:effectExtent l="0" t="0" r="13970" b="635"/>
            <wp:docPr id="29"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 descr="IMG_256"/>
                    <pic:cNvPicPr>
                      <a:picLocks noChangeAspect="1"/>
                    </pic:cNvPicPr>
                  </pic:nvPicPr>
                  <pic:blipFill>
                    <a:blip r:embed="rId15"/>
                    <a:stretch>
                      <a:fillRect/>
                    </a:stretch>
                  </pic:blipFill>
                  <pic:spPr>
                    <a:xfrm>
                      <a:off x="0" y="0"/>
                      <a:ext cx="5106670" cy="3778885"/>
                    </a:xfrm>
                    <a:prstGeom prst="rect">
                      <a:avLst/>
                    </a:prstGeom>
                    <a:noFill/>
                    <a:ln w="9525">
                      <a:noFill/>
                    </a:ln>
                  </pic:spPr>
                </pic:pic>
              </a:graphicData>
            </a:graphic>
          </wp:inline>
        </w:drawing>
      </w:r>
    </w:p>
    <w:p>
      <w:pPr>
        <w:autoSpaceDE w:val="0"/>
        <w:autoSpaceDN w:val="0"/>
        <w:snapToGrid/>
        <w:spacing w:line="560" w:lineRule="exact"/>
        <w:ind w:firstLine="562"/>
        <w:jc w:val="left"/>
        <w:rPr>
          <w:rFonts w:ascii="仿宋_GB2312" w:hAnsi="Arial" w:eastAsia="仿宋_GB2312" w:cs="微软雅黑"/>
          <w:b/>
          <w:bCs/>
          <w:kern w:val="0"/>
          <w:sz w:val="28"/>
          <w:szCs w:val="28"/>
        </w:rPr>
      </w:pPr>
      <w:bookmarkStart w:id="2" w:name="_Toc20753"/>
      <w:r>
        <w:rPr>
          <w:rFonts w:hint="eastAsia" w:ascii="仿宋_GB2312" w:hAnsi="Arial" w:eastAsia="仿宋_GB2312" w:cs="微软雅黑"/>
          <w:b/>
          <w:bCs/>
          <w:kern w:val="0"/>
          <w:sz w:val="28"/>
          <w:szCs w:val="28"/>
        </w:rPr>
        <w:t>2.系统接线</w:t>
      </w:r>
      <w:bookmarkEnd w:id="2"/>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任务描述：选手根据提供的电气原理图，完成书签供料模块气动阀接线。·</w:t>
      </w:r>
    </w:p>
    <w:p>
      <w:pPr>
        <w:spacing w:before="120"/>
        <w:ind w:firstLine="0" w:firstLineChars="0"/>
        <w:rPr>
          <w:rFonts w:ascii="Arial" w:hAnsi="Arial"/>
          <w:szCs w:val="24"/>
        </w:rPr>
      </w:pPr>
      <w:r>
        <w:rPr>
          <w:rFonts w:ascii="Arial" w:hAnsi="Arial"/>
          <w:szCs w:val="24"/>
        </w:rPr>
        <w:drawing>
          <wp:inline distT="0" distB="0" distL="114300" distR="114300">
            <wp:extent cx="5175250" cy="3434080"/>
            <wp:effectExtent l="0" t="0" r="6350"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6"/>
                    <a:stretch>
                      <a:fillRect/>
                    </a:stretch>
                  </pic:blipFill>
                  <pic:spPr>
                    <a:xfrm>
                      <a:off x="0" y="0"/>
                      <a:ext cx="5175250" cy="3434080"/>
                    </a:xfrm>
                    <a:prstGeom prst="rect">
                      <a:avLst/>
                    </a:prstGeom>
                    <a:noFill/>
                    <a:ln>
                      <a:noFill/>
                    </a:ln>
                  </pic:spPr>
                </pic:pic>
              </a:graphicData>
            </a:graphic>
          </wp:inline>
        </w:drawing>
      </w:r>
    </w:p>
    <w:p>
      <w:pPr>
        <w:autoSpaceDE w:val="0"/>
        <w:autoSpaceDN w:val="0"/>
        <w:snapToGrid/>
        <w:spacing w:line="560" w:lineRule="exact"/>
        <w:ind w:firstLine="562"/>
        <w:jc w:val="left"/>
        <w:rPr>
          <w:rFonts w:ascii="仿宋_GB2312" w:hAnsi="Arial" w:eastAsia="仿宋_GB2312" w:cs="微软雅黑"/>
          <w:b/>
          <w:bCs/>
          <w:kern w:val="0"/>
          <w:sz w:val="28"/>
          <w:szCs w:val="28"/>
        </w:rPr>
      </w:pPr>
      <w:bookmarkStart w:id="3" w:name="_Toc5939"/>
      <w:r>
        <w:rPr>
          <w:rFonts w:hint="eastAsia" w:ascii="仿宋_GB2312" w:hAnsi="Arial" w:eastAsia="仿宋_GB2312" w:cs="微软雅黑"/>
          <w:b/>
          <w:bCs/>
          <w:kern w:val="0"/>
          <w:sz w:val="28"/>
          <w:szCs w:val="28"/>
        </w:rPr>
        <w:t>3.系统调试</w:t>
      </w:r>
      <w:bookmarkEnd w:id="3"/>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任务描述：选手根据电气原理图建立PLC变量表，通过PLC编程软件上强制监控表，强制输出控制书签供料单元三个气动阀门，使其能够将书签推送到输送带上（俯视投影不得超出输送皮带）。选手在监控表，能够监控书签供料模块料位状态信号等。</w:t>
      </w:r>
    </w:p>
    <w:p>
      <w:pPr>
        <w:autoSpaceDE w:val="0"/>
        <w:autoSpaceDN w:val="0"/>
        <w:snapToGrid/>
        <w:spacing w:line="560" w:lineRule="exact"/>
        <w:ind w:firstLine="562"/>
        <w:jc w:val="left"/>
        <w:rPr>
          <w:rFonts w:ascii="仿宋_GB2312" w:hAnsi="Arial" w:eastAsia="仿宋_GB2312" w:cs="微软雅黑"/>
          <w:b/>
          <w:bCs/>
          <w:kern w:val="0"/>
          <w:sz w:val="28"/>
          <w:szCs w:val="28"/>
        </w:rPr>
      </w:pPr>
      <w:bookmarkStart w:id="4" w:name="_Toc31674"/>
    </w:p>
    <w:p>
      <w:pPr>
        <w:autoSpaceDE w:val="0"/>
        <w:autoSpaceDN w:val="0"/>
        <w:snapToGrid/>
        <w:spacing w:line="560" w:lineRule="exact"/>
        <w:ind w:firstLine="562"/>
        <w:jc w:val="left"/>
        <w:rPr>
          <w:rFonts w:ascii="仿宋_GB2312" w:hAnsi="Arial" w:eastAsia="仿宋_GB2312" w:cs="微软雅黑"/>
          <w:b/>
          <w:bCs/>
          <w:kern w:val="0"/>
          <w:sz w:val="28"/>
          <w:szCs w:val="28"/>
        </w:rPr>
      </w:pPr>
      <w:r>
        <w:rPr>
          <w:rFonts w:hint="eastAsia" w:ascii="仿宋_GB2312" w:hAnsi="Arial" w:eastAsia="仿宋_GB2312" w:cs="微软雅黑"/>
          <w:b/>
          <w:bCs/>
          <w:kern w:val="0"/>
          <w:sz w:val="28"/>
          <w:szCs w:val="28"/>
        </w:rPr>
        <w:t>任务（二） 工业机器人系统离线仿真</w:t>
      </w:r>
      <w:bookmarkEnd w:id="4"/>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选手将三维建模软件创建的模型文件导入离线编程软件，创建工业机器人系统作业场景，并生成工业机器人运行程序。</w:t>
      </w:r>
    </w:p>
    <w:p>
      <w:pPr>
        <w:autoSpaceDE w:val="0"/>
        <w:autoSpaceDN w:val="0"/>
        <w:snapToGrid/>
        <w:spacing w:line="560" w:lineRule="exact"/>
        <w:ind w:firstLine="562"/>
        <w:jc w:val="left"/>
        <w:rPr>
          <w:rFonts w:ascii="仿宋_GB2312" w:hAnsi="Arial" w:eastAsia="仿宋_GB2312" w:cs="微软雅黑"/>
          <w:b/>
          <w:bCs/>
          <w:kern w:val="0"/>
          <w:sz w:val="28"/>
          <w:szCs w:val="28"/>
        </w:rPr>
      </w:pPr>
      <w:bookmarkStart w:id="5" w:name="_Toc3474"/>
      <w:r>
        <w:rPr>
          <w:rFonts w:hint="eastAsia" w:ascii="仿宋_GB2312" w:hAnsi="Arial" w:eastAsia="仿宋_GB2312" w:cs="微软雅黑"/>
          <w:b/>
          <w:bCs/>
          <w:kern w:val="0"/>
          <w:sz w:val="28"/>
          <w:szCs w:val="28"/>
        </w:rPr>
        <w:t>1.场景搭建</w:t>
      </w:r>
      <w:bookmarkEnd w:id="5"/>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任务描述：选手根据提供的三维模型，在离线编程软件中完成工业机器人系统作业场景的搭建。</w:t>
      </w:r>
    </w:p>
    <w:p>
      <w:pPr>
        <w:autoSpaceDE w:val="0"/>
        <w:autoSpaceDN w:val="0"/>
        <w:snapToGrid/>
        <w:spacing w:line="560" w:lineRule="exact"/>
        <w:ind w:firstLine="562"/>
        <w:jc w:val="left"/>
        <w:rPr>
          <w:rFonts w:ascii="仿宋_GB2312" w:hAnsi="Arial" w:eastAsia="仿宋_GB2312" w:cs="微软雅黑"/>
          <w:b/>
          <w:bCs/>
          <w:kern w:val="0"/>
          <w:sz w:val="28"/>
          <w:szCs w:val="28"/>
        </w:rPr>
      </w:pPr>
      <w:bookmarkStart w:id="6" w:name="_Toc11568"/>
      <w:r>
        <w:rPr>
          <w:rFonts w:hint="eastAsia" w:ascii="仿宋_GB2312" w:hAnsi="Arial" w:eastAsia="仿宋_GB2312" w:cs="微软雅黑"/>
          <w:b/>
          <w:bCs/>
          <w:kern w:val="0"/>
          <w:sz w:val="28"/>
          <w:szCs w:val="28"/>
        </w:rPr>
        <w:t>2.离线仿真</w:t>
      </w:r>
      <w:bookmarkEnd w:id="6"/>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任务描述：选手在离线编程软件中，完成工业机器人在曲面模块上轨迹描绘平行四边形的曲面轨迹的程序编写，并在离线编程软件中仿真验证。</w:t>
      </w:r>
    </w:p>
    <w:p>
      <w:pPr>
        <w:autoSpaceDE w:val="0"/>
        <w:autoSpaceDN w:val="0"/>
        <w:snapToGrid/>
        <w:spacing w:line="560" w:lineRule="exact"/>
        <w:ind w:firstLine="562"/>
        <w:jc w:val="left"/>
        <w:rPr>
          <w:rFonts w:ascii="仿宋_GB2312" w:hAnsi="Arial" w:eastAsia="仿宋_GB2312" w:cs="微软雅黑"/>
          <w:b/>
          <w:bCs/>
          <w:kern w:val="0"/>
          <w:sz w:val="28"/>
          <w:szCs w:val="28"/>
        </w:rPr>
      </w:pPr>
      <w:bookmarkStart w:id="7" w:name="_Toc21653"/>
      <w:r>
        <w:rPr>
          <w:rFonts w:hint="eastAsia" w:ascii="仿宋_GB2312" w:hAnsi="Arial" w:eastAsia="仿宋_GB2312" w:cs="微软雅黑"/>
          <w:b/>
          <w:bCs/>
          <w:kern w:val="0"/>
          <w:sz w:val="28"/>
          <w:szCs w:val="28"/>
        </w:rPr>
        <w:t>3.程序验证</w:t>
      </w:r>
      <w:bookmarkEnd w:id="7"/>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任务描述：选手把离线编程软件中仿真验证的程序导出，导入到工业机器人里，正确安装轨迹描绘笔并标定轨迹关键点，完成工业机器人在曲面模块上轨迹描绘程序的运行。</w:t>
      </w:r>
    </w:p>
    <w:p>
      <w:pPr>
        <w:pStyle w:val="2"/>
        <w:ind w:firstLine="480"/>
      </w:pPr>
    </w:p>
    <w:p>
      <w:pPr>
        <w:autoSpaceDE w:val="0"/>
        <w:autoSpaceDN w:val="0"/>
        <w:snapToGrid/>
        <w:spacing w:line="560" w:lineRule="exact"/>
        <w:ind w:firstLine="562"/>
        <w:jc w:val="left"/>
        <w:rPr>
          <w:rFonts w:ascii="仿宋_GB2312" w:hAnsi="Arial" w:eastAsia="仿宋_GB2312" w:cs="微软雅黑"/>
          <w:b/>
          <w:bCs/>
          <w:kern w:val="0"/>
          <w:sz w:val="28"/>
          <w:szCs w:val="28"/>
        </w:rPr>
      </w:pPr>
      <w:bookmarkStart w:id="8" w:name="_Toc31386"/>
      <w:r>
        <w:rPr>
          <w:rFonts w:hint="eastAsia" w:ascii="仿宋_GB2312" w:hAnsi="Arial" w:eastAsia="仿宋_GB2312" w:cs="微软雅黑"/>
          <w:b/>
          <w:bCs/>
          <w:kern w:val="0"/>
          <w:sz w:val="28"/>
          <w:szCs w:val="28"/>
        </w:rPr>
        <w:t>任务（三） 工业机器人系统编程与调试</w:t>
      </w:r>
      <w:bookmarkEnd w:id="8"/>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选手根据任务要求，完成PLC、触摸屏、视觉系统、六轴工业机器人、伺服驱动器等设备的参数设置、程序编写与调试工作。</w:t>
      </w:r>
    </w:p>
    <w:p>
      <w:pPr>
        <w:autoSpaceDE w:val="0"/>
        <w:autoSpaceDN w:val="0"/>
        <w:snapToGrid/>
        <w:spacing w:line="560" w:lineRule="exact"/>
        <w:ind w:firstLine="562"/>
        <w:jc w:val="left"/>
        <w:rPr>
          <w:rFonts w:ascii="仿宋_GB2312" w:hAnsi="Arial" w:eastAsia="仿宋_GB2312" w:cs="微软雅黑"/>
          <w:b/>
          <w:bCs/>
          <w:kern w:val="0"/>
          <w:sz w:val="28"/>
          <w:szCs w:val="28"/>
        </w:rPr>
      </w:pPr>
      <w:bookmarkStart w:id="9" w:name="_Toc26400"/>
      <w:r>
        <w:rPr>
          <w:rFonts w:hint="eastAsia" w:ascii="仿宋_GB2312" w:hAnsi="Arial" w:eastAsia="仿宋_GB2312" w:cs="微软雅黑"/>
          <w:b/>
          <w:bCs/>
          <w:kern w:val="0"/>
          <w:sz w:val="28"/>
          <w:szCs w:val="28"/>
        </w:rPr>
        <w:t>1.网络配置连接</w:t>
      </w:r>
      <w:bookmarkEnd w:id="9"/>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任务描述：选手根据提供的IP地址分配表（如下表），完成PLC、触摸屏、视觉系统、工业机器人的IP地址设置，在编程电脑上能Ping通各设备。</w:t>
      </w:r>
    </w:p>
    <w:p>
      <w:pPr>
        <w:adjustRightInd/>
        <w:snapToGrid/>
        <w:spacing w:line="240" w:lineRule="auto"/>
        <w:ind w:left="184" w:firstLine="0" w:firstLineChars="0"/>
        <w:jc w:val="center"/>
        <w:rPr>
          <w:szCs w:val="24"/>
        </w:rPr>
      </w:pPr>
      <w:r>
        <w:rPr>
          <w:rFonts w:hint="eastAsia"/>
          <w:szCs w:val="24"/>
        </w:rPr>
        <w:t>IP地址分配表</w:t>
      </w:r>
    </w:p>
    <w:tbl>
      <w:tblPr>
        <w:tblStyle w:val="32"/>
        <w:tblW w:w="4999" w:type="pct"/>
        <w:tblInd w:w="0" w:type="dxa"/>
        <w:tblLayout w:type="autofit"/>
        <w:tblCellMar>
          <w:top w:w="119" w:type="dxa"/>
          <w:left w:w="111" w:type="dxa"/>
          <w:bottom w:w="0" w:type="dxa"/>
          <w:right w:w="114" w:type="dxa"/>
        </w:tblCellMar>
      </w:tblPr>
      <w:tblGrid>
        <w:gridCol w:w="1017"/>
        <w:gridCol w:w="2431"/>
        <w:gridCol w:w="2676"/>
        <w:gridCol w:w="2717"/>
      </w:tblGrid>
      <w:tr>
        <w:tblPrEx>
          <w:tblCellMar>
            <w:top w:w="119" w:type="dxa"/>
            <w:left w:w="111" w:type="dxa"/>
            <w:bottom w:w="0" w:type="dxa"/>
            <w:right w:w="114" w:type="dxa"/>
          </w:tblCellMar>
        </w:tblPrEx>
        <w:trPr>
          <w:trHeight w:val="410" w:hRule="atLeast"/>
        </w:trPr>
        <w:tc>
          <w:tcPr>
            <w:tcW w:w="575"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序号</w:t>
            </w:r>
          </w:p>
        </w:tc>
        <w:tc>
          <w:tcPr>
            <w:tcW w:w="1374"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名称</w:t>
            </w:r>
          </w:p>
        </w:tc>
        <w:tc>
          <w:tcPr>
            <w:tcW w:w="1513"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IP地址</w:t>
            </w:r>
          </w:p>
        </w:tc>
        <w:tc>
          <w:tcPr>
            <w:tcW w:w="1536"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备注</w:t>
            </w:r>
          </w:p>
        </w:tc>
      </w:tr>
      <w:tr>
        <w:tblPrEx>
          <w:tblCellMar>
            <w:top w:w="119" w:type="dxa"/>
            <w:left w:w="111" w:type="dxa"/>
            <w:bottom w:w="0" w:type="dxa"/>
            <w:right w:w="114" w:type="dxa"/>
          </w:tblCellMar>
        </w:tblPrEx>
        <w:trPr>
          <w:trHeight w:val="410" w:hRule="atLeast"/>
        </w:trPr>
        <w:tc>
          <w:tcPr>
            <w:tcW w:w="575"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w:t>
            </w:r>
          </w:p>
        </w:tc>
        <w:tc>
          <w:tcPr>
            <w:tcW w:w="1374"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生产单元PLC</w:t>
            </w:r>
          </w:p>
        </w:tc>
        <w:tc>
          <w:tcPr>
            <w:tcW w:w="1513"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192.168.1.10</w:t>
            </w:r>
          </w:p>
        </w:tc>
        <w:tc>
          <w:tcPr>
            <w:tcW w:w="1536"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未设定</w:t>
            </w:r>
          </w:p>
        </w:tc>
      </w:tr>
      <w:tr>
        <w:tblPrEx>
          <w:tblCellMar>
            <w:top w:w="119" w:type="dxa"/>
            <w:left w:w="111" w:type="dxa"/>
            <w:bottom w:w="0" w:type="dxa"/>
            <w:right w:w="114" w:type="dxa"/>
          </w:tblCellMar>
        </w:tblPrEx>
        <w:trPr>
          <w:trHeight w:val="467" w:hRule="atLeast"/>
        </w:trPr>
        <w:tc>
          <w:tcPr>
            <w:tcW w:w="575"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2</w:t>
            </w:r>
          </w:p>
        </w:tc>
        <w:tc>
          <w:tcPr>
            <w:tcW w:w="1374"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生产单元HMI</w:t>
            </w:r>
          </w:p>
        </w:tc>
        <w:tc>
          <w:tcPr>
            <w:tcW w:w="1513" w:type="pct"/>
            <w:tcBorders>
              <w:top w:val="single" w:color="000000" w:sz="4" w:space="0"/>
              <w:left w:val="single" w:color="000000" w:sz="4" w:space="0"/>
              <w:bottom w:val="single" w:color="000000" w:sz="4" w:space="0"/>
              <w:right w:val="single" w:color="000000" w:sz="4" w:space="0"/>
            </w:tcBorders>
            <w:vAlign w:val="center"/>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192.168.1.11</w:t>
            </w:r>
          </w:p>
        </w:tc>
        <w:tc>
          <w:tcPr>
            <w:tcW w:w="1536"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未设定</w:t>
            </w:r>
          </w:p>
        </w:tc>
      </w:tr>
      <w:tr>
        <w:tblPrEx>
          <w:tblCellMar>
            <w:top w:w="119" w:type="dxa"/>
            <w:left w:w="111" w:type="dxa"/>
            <w:bottom w:w="0" w:type="dxa"/>
            <w:right w:w="114" w:type="dxa"/>
          </w:tblCellMar>
        </w:tblPrEx>
        <w:trPr>
          <w:trHeight w:val="408" w:hRule="atLeast"/>
        </w:trPr>
        <w:tc>
          <w:tcPr>
            <w:tcW w:w="575"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3</w:t>
            </w:r>
          </w:p>
        </w:tc>
        <w:tc>
          <w:tcPr>
            <w:tcW w:w="1374"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生产单元远程IO</w:t>
            </w:r>
          </w:p>
        </w:tc>
        <w:tc>
          <w:tcPr>
            <w:tcW w:w="1513"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192.168.1.12</w:t>
            </w:r>
          </w:p>
        </w:tc>
        <w:tc>
          <w:tcPr>
            <w:tcW w:w="1536"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已设定</w:t>
            </w:r>
          </w:p>
        </w:tc>
      </w:tr>
      <w:tr>
        <w:tblPrEx>
          <w:tblCellMar>
            <w:top w:w="119" w:type="dxa"/>
            <w:left w:w="111" w:type="dxa"/>
            <w:bottom w:w="0" w:type="dxa"/>
            <w:right w:w="114" w:type="dxa"/>
          </w:tblCellMar>
        </w:tblPrEx>
        <w:trPr>
          <w:trHeight w:val="408" w:hRule="atLeast"/>
        </w:trPr>
        <w:tc>
          <w:tcPr>
            <w:tcW w:w="575"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4</w:t>
            </w:r>
          </w:p>
        </w:tc>
        <w:tc>
          <w:tcPr>
            <w:tcW w:w="1374"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生产单元RFID</w:t>
            </w:r>
          </w:p>
        </w:tc>
        <w:tc>
          <w:tcPr>
            <w:tcW w:w="1513"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192.168.1.13</w:t>
            </w:r>
          </w:p>
        </w:tc>
        <w:tc>
          <w:tcPr>
            <w:tcW w:w="1536"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已设定</w:t>
            </w:r>
          </w:p>
        </w:tc>
      </w:tr>
      <w:tr>
        <w:tblPrEx>
          <w:tblCellMar>
            <w:top w:w="119" w:type="dxa"/>
            <w:left w:w="111" w:type="dxa"/>
            <w:bottom w:w="0" w:type="dxa"/>
            <w:right w:w="114" w:type="dxa"/>
          </w:tblCellMar>
        </w:tblPrEx>
        <w:trPr>
          <w:trHeight w:val="492" w:hRule="atLeast"/>
        </w:trPr>
        <w:tc>
          <w:tcPr>
            <w:tcW w:w="575"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5</w:t>
            </w:r>
          </w:p>
        </w:tc>
        <w:tc>
          <w:tcPr>
            <w:tcW w:w="1374"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生产单元机器人</w:t>
            </w:r>
          </w:p>
        </w:tc>
        <w:tc>
          <w:tcPr>
            <w:tcW w:w="1513"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192.168.1.14</w:t>
            </w:r>
          </w:p>
        </w:tc>
        <w:tc>
          <w:tcPr>
            <w:tcW w:w="1536"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未设定</w:t>
            </w:r>
          </w:p>
        </w:tc>
      </w:tr>
      <w:tr>
        <w:tblPrEx>
          <w:tblCellMar>
            <w:top w:w="119" w:type="dxa"/>
            <w:left w:w="111" w:type="dxa"/>
            <w:bottom w:w="0" w:type="dxa"/>
            <w:right w:w="114" w:type="dxa"/>
          </w:tblCellMar>
        </w:tblPrEx>
        <w:trPr>
          <w:trHeight w:val="410" w:hRule="atLeast"/>
        </w:trPr>
        <w:tc>
          <w:tcPr>
            <w:tcW w:w="575"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6</w:t>
            </w:r>
          </w:p>
        </w:tc>
        <w:tc>
          <w:tcPr>
            <w:tcW w:w="1374"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生产单元视觉系统</w:t>
            </w:r>
          </w:p>
        </w:tc>
        <w:tc>
          <w:tcPr>
            <w:tcW w:w="1513"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192.168.1.83</w:t>
            </w:r>
          </w:p>
        </w:tc>
        <w:tc>
          <w:tcPr>
            <w:tcW w:w="1536"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未设定</w:t>
            </w:r>
          </w:p>
        </w:tc>
      </w:tr>
      <w:tr>
        <w:tblPrEx>
          <w:tblCellMar>
            <w:top w:w="119" w:type="dxa"/>
            <w:left w:w="111" w:type="dxa"/>
            <w:bottom w:w="0" w:type="dxa"/>
            <w:right w:w="114" w:type="dxa"/>
          </w:tblCellMar>
        </w:tblPrEx>
        <w:trPr>
          <w:trHeight w:val="410" w:hRule="atLeast"/>
        </w:trPr>
        <w:tc>
          <w:tcPr>
            <w:tcW w:w="575"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7</w:t>
            </w:r>
          </w:p>
        </w:tc>
        <w:tc>
          <w:tcPr>
            <w:tcW w:w="1374"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生产单元刻录机</w:t>
            </w:r>
          </w:p>
        </w:tc>
        <w:tc>
          <w:tcPr>
            <w:tcW w:w="1513"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192.168.1.84</w:t>
            </w:r>
          </w:p>
        </w:tc>
        <w:tc>
          <w:tcPr>
            <w:tcW w:w="1536"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已设定</w:t>
            </w:r>
          </w:p>
        </w:tc>
      </w:tr>
      <w:tr>
        <w:tblPrEx>
          <w:tblCellMar>
            <w:top w:w="119" w:type="dxa"/>
            <w:left w:w="111" w:type="dxa"/>
            <w:bottom w:w="0" w:type="dxa"/>
            <w:right w:w="114" w:type="dxa"/>
          </w:tblCellMar>
        </w:tblPrEx>
        <w:trPr>
          <w:trHeight w:val="410" w:hRule="atLeast"/>
        </w:trPr>
        <w:tc>
          <w:tcPr>
            <w:tcW w:w="575"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8</w:t>
            </w:r>
          </w:p>
        </w:tc>
        <w:tc>
          <w:tcPr>
            <w:tcW w:w="1374"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仓储单元PLC</w:t>
            </w:r>
          </w:p>
        </w:tc>
        <w:tc>
          <w:tcPr>
            <w:tcW w:w="1513"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192.168.1.20</w:t>
            </w:r>
          </w:p>
        </w:tc>
        <w:tc>
          <w:tcPr>
            <w:tcW w:w="1536"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未设定</w:t>
            </w:r>
          </w:p>
        </w:tc>
      </w:tr>
      <w:tr>
        <w:tblPrEx>
          <w:tblCellMar>
            <w:top w:w="119" w:type="dxa"/>
            <w:left w:w="111" w:type="dxa"/>
            <w:bottom w:w="0" w:type="dxa"/>
            <w:right w:w="114" w:type="dxa"/>
          </w:tblCellMar>
        </w:tblPrEx>
        <w:trPr>
          <w:trHeight w:val="410" w:hRule="atLeast"/>
        </w:trPr>
        <w:tc>
          <w:tcPr>
            <w:tcW w:w="575"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9</w:t>
            </w:r>
          </w:p>
        </w:tc>
        <w:tc>
          <w:tcPr>
            <w:tcW w:w="1374"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仓储单元HMI</w:t>
            </w:r>
          </w:p>
        </w:tc>
        <w:tc>
          <w:tcPr>
            <w:tcW w:w="1513"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192.168.1.21</w:t>
            </w:r>
          </w:p>
        </w:tc>
        <w:tc>
          <w:tcPr>
            <w:tcW w:w="1536"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未设定</w:t>
            </w:r>
          </w:p>
        </w:tc>
      </w:tr>
      <w:tr>
        <w:tblPrEx>
          <w:tblCellMar>
            <w:top w:w="119" w:type="dxa"/>
            <w:left w:w="111" w:type="dxa"/>
            <w:bottom w:w="0" w:type="dxa"/>
            <w:right w:w="114" w:type="dxa"/>
          </w:tblCellMar>
        </w:tblPrEx>
        <w:trPr>
          <w:trHeight w:val="410" w:hRule="atLeast"/>
        </w:trPr>
        <w:tc>
          <w:tcPr>
            <w:tcW w:w="575"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10</w:t>
            </w:r>
          </w:p>
        </w:tc>
        <w:tc>
          <w:tcPr>
            <w:tcW w:w="1374"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仓储单元RFID</w:t>
            </w:r>
          </w:p>
        </w:tc>
        <w:tc>
          <w:tcPr>
            <w:tcW w:w="1513"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192.168.1.22</w:t>
            </w:r>
          </w:p>
        </w:tc>
        <w:tc>
          <w:tcPr>
            <w:tcW w:w="1536"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已设定</w:t>
            </w:r>
          </w:p>
        </w:tc>
      </w:tr>
      <w:tr>
        <w:tblPrEx>
          <w:tblCellMar>
            <w:top w:w="119" w:type="dxa"/>
            <w:left w:w="111" w:type="dxa"/>
            <w:bottom w:w="0" w:type="dxa"/>
            <w:right w:w="114" w:type="dxa"/>
          </w:tblCellMar>
        </w:tblPrEx>
        <w:trPr>
          <w:trHeight w:val="410" w:hRule="atLeast"/>
        </w:trPr>
        <w:tc>
          <w:tcPr>
            <w:tcW w:w="575"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11</w:t>
            </w:r>
          </w:p>
        </w:tc>
        <w:tc>
          <w:tcPr>
            <w:tcW w:w="1374"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AGV转运单元</w:t>
            </w:r>
          </w:p>
        </w:tc>
        <w:tc>
          <w:tcPr>
            <w:tcW w:w="1513"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192.168.1.30</w:t>
            </w:r>
          </w:p>
        </w:tc>
        <w:tc>
          <w:tcPr>
            <w:tcW w:w="1536"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已设定</w:t>
            </w:r>
          </w:p>
        </w:tc>
      </w:tr>
      <w:tr>
        <w:tblPrEx>
          <w:tblCellMar>
            <w:top w:w="119" w:type="dxa"/>
            <w:left w:w="111" w:type="dxa"/>
            <w:bottom w:w="0" w:type="dxa"/>
            <w:right w:w="114" w:type="dxa"/>
          </w:tblCellMar>
        </w:tblPrEx>
        <w:trPr>
          <w:trHeight w:val="410" w:hRule="atLeast"/>
        </w:trPr>
        <w:tc>
          <w:tcPr>
            <w:tcW w:w="575"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12</w:t>
            </w:r>
          </w:p>
        </w:tc>
        <w:tc>
          <w:tcPr>
            <w:tcW w:w="1374"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编程计算机1</w:t>
            </w:r>
          </w:p>
        </w:tc>
        <w:tc>
          <w:tcPr>
            <w:tcW w:w="1513"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192.168.1.81</w:t>
            </w:r>
          </w:p>
        </w:tc>
        <w:tc>
          <w:tcPr>
            <w:tcW w:w="1536"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已设定</w:t>
            </w:r>
          </w:p>
        </w:tc>
      </w:tr>
      <w:tr>
        <w:tblPrEx>
          <w:tblCellMar>
            <w:top w:w="119" w:type="dxa"/>
            <w:left w:w="111" w:type="dxa"/>
            <w:bottom w:w="0" w:type="dxa"/>
            <w:right w:w="114" w:type="dxa"/>
          </w:tblCellMar>
        </w:tblPrEx>
        <w:trPr>
          <w:trHeight w:val="410" w:hRule="atLeast"/>
        </w:trPr>
        <w:tc>
          <w:tcPr>
            <w:tcW w:w="575"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13</w:t>
            </w:r>
          </w:p>
        </w:tc>
        <w:tc>
          <w:tcPr>
            <w:tcW w:w="1374"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编程计算机2</w:t>
            </w:r>
          </w:p>
        </w:tc>
        <w:tc>
          <w:tcPr>
            <w:tcW w:w="1513"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192.168.1.82</w:t>
            </w:r>
          </w:p>
        </w:tc>
        <w:tc>
          <w:tcPr>
            <w:tcW w:w="1536" w:type="pct"/>
            <w:tcBorders>
              <w:top w:val="single" w:color="000000" w:sz="4" w:space="0"/>
              <w:left w:val="single" w:color="000000" w:sz="4" w:space="0"/>
              <w:bottom w:val="single" w:color="000000" w:sz="4" w:space="0"/>
              <w:right w:val="single" w:color="000000" w:sz="4" w:space="0"/>
            </w:tcBorders>
          </w:tcPr>
          <w:p>
            <w:pPr>
              <w:adjustRightInd/>
              <w:snapToGrid/>
              <w:spacing w:line="240" w:lineRule="auto"/>
              <w:ind w:firstLine="0" w:firstLineChars="0"/>
              <w:jc w:val="center"/>
              <w:rPr>
                <w:rFonts w:ascii="Times New Roman" w:hAnsi="Times New Roman" w:eastAsia="仿宋_GB2312" w:cstheme="minorBidi"/>
                <w:sz w:val="21"/>
                <w:szCs w:val="21"/>
              </w:rPr>
            </w:pPr>
            <w:r>
              <w:rPr>
                <w:rFonts w:hint="eastAsia" w:ascii="Times New Roman" w:hAnsi="Times New Roman" w:eastAsia="仿宋_GB2312" w:cstheme="minorBidi"/>
                <w:sz w:val="21"/>
                <w:szCs w:val="21"/>
              </w:rPr>
              <w:t>已设定</w:t>
            </w:r>
          </w:p>
        </w:tc>
      </w:tr>
    </w:tbl>
    <w:p>
      <w:pPr>
        <w:autoSpaceDE w:val="0"/>
        <w:autoSpaceDN w:val="0"/>
        <w:snapToGrid/>
        <w:spacing w:line="560" w:lineRule="exact"/>
        <w:ind w:firstLine="562"/>
        <w:jc w:val="left"/>
        <w:rPr>
          <w:rFonts w:ascii="仿宋_GB2312" w:hAnsi="Arial" w:eastAsia="仿宋_GB2312" w:cs="微软雅黑"/>
          <w:b/>
          <w:bCs/>
          <w:kern w:val="0"/>
          <w:sz w:val="28"/>
          <w:szCs w:val="28"/>
        </w:rPr>
      </w:pPr>
      <w:bookmarkStart w:id="10" w:name="_Toc11322"/>
      <w:r>
        <w:rPr>
          <w:rFonts w:hint="eastAsia" w:ascii="仿宋_GB2312" w:hAnsi="Arial" w:eastAsia="仿宋_GB2312" w:cs="微软雅黑"/>
          <w:b/>
          <w:bCs/>
          <w:kern w:val="0"/>
          <w:sz w:val="28"/>
          <w:szCs w:val="28"/>
        </w:rPr>
        <w:t>2.触摸屏配置</w:t>
      </w:r>
      <w:bookmarkEnd w:id="10"/>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任务描述：选手完成六轴工业机器人装配单元和自动化仓储单元的触摸屏通讯配置，使其能够与各自PLC进行数据交互。两台触摸屏要求为：</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（1）选手在触摸屏上制作复位、启动和停止按钮，使其实现在非急停状态下，操作面板上复位按钮指示灯以2Hz频率闪烁，其余指示灯熄灭；</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（2）按下触摸屏上的复位按钮，操作面板上的启动按钮指示灯以2Hz 频率闪烁，其余指示灯熄灭；</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（3）按下触摸屏上的启动按钮，操作面板上的启动按钮指示灯常亮，其余指示灯熄灭；</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（4）按下触摸屏上的停止按钮，操作面板上的停止按钮指示灯常亮，其余指示灯熄灭。</w:t>
      </w:r>
    </w:p>
    <w:p>
      <w:pPr>
        <w:autoSpaceDE w:val="0"/>
        <w:autoSpaceDN w:val="0"/>
        <w:snapToGrid/>
        <w:spacing w:line="560" w:lineRule="exact"/>
        <w:ind w:firstLine="562"/>
        <w:jc w:val="left"/>
        <w:rPr>
          <w:rFonts w:ascii="仿宋_GB2312" w:hAnsi="Arial" w:eastAsia="仿宋_GB2312" w:cs="微软雅黑"/>
          <w:b/>
          <w:bCs/>
          <w:kern w:val="0"/>
          <w:sz w:val="28"/>
          <w:szCs w:val="28"/>
        </w:rPr>
      </w:pPr>
      <w:bookmarkStart w:id="11" w:name="_Toc2459"/>
      <w:r>
        <w:rPr>
          <w:rFonts w:hint="eastAsia" w:ascii="仿宋_GB2312" w:hAnsi="Arial" w:eastAsia="仿宋_GB2312" w:cs="微软雅黑"/>
          <w:b/>
          <w:bCs/>
          <w:kern w:val="0"/>
          <w:sz w:val="28"/>
          <w:szCs w:val="28"/>
        </w:rPr>
        <w:t>3.视觉系统配置</w:t>
      </w:r>
      <w:bookmarkEnd w:id="11"/>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任务描述：选手完成视觉系统颜色识别与通讯配置，使其能够与PLC进行数据交互。选手手动分别放置红、黄、蓝三种书签于视觉暗箱中，通过视觉系统能够识别出三种颜色，并在触摸屏上展示识别结果。</w:t>
      </w:r>
    </w:p>
    <w:p>
      <w:pPr>
        <w:autoSpaceDE w:val="0"/>
        <w:autoSpaceDN w:val="0"/>
        <w:snapToGrid/>
        <w:spacing w:line="560" w:lineRule="exact"/>
        <w:ind w:firstLine="562"/>
        <w:jc w:val="left"/>
        <w:rPr>
          <w:rFonts w:ascii="仿宋_GB2312" w:hAnsi="Arial" w:eastAsia="仿宋_GB2312" w:cs="微软雅黑"/>
          <w:b/>
          <w:bCs/>
          <w:kern w:val="0"/>
          <w:sz w:val="28"/>
          <w:szCs w:val="28"/>
        </w:rPr>
      </w:pPr>
      <w:bookmarkStart w:id="12" w:name="_Toc17758"/>
      <w:r>
        <w:rPr>
          <w:rFonts w:hint="eastAsia" w:ascii="仿宋_GB2312" w:hAnsi="Arial" w:eastAsia="仿宋_GB2312" w:cs="微软雅黑"/>
          <w:b/>
          <w:bCs/>
          <w:kern w:val="0"/>
          <w:sz w:val="28"/>
          <w:szCs w:val="28"/>
        </w:rPr>
        <w:t>4.工业机器人系统配置与调试</w:t>
      </w:r>
      <w:bookmarkEnd w:id="12"/>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任务描述：选手完成工业机器人系统通讯配置，使其能够与PLC进行数据交互。选手将工业机器人各轴数据（J1、J2、J3、J4、J5、J6）在触摸屏画面中展示。</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选手完成工业机器人程序编写与测试，使其能依次完成的动作:</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(1)抓取红色底盒到打标托盘上；</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(2)抓取红色书签到底盒上；</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(3)抓取半成品至物料转运模块上。</w:t>
      </w:r>
    </w:p>
    <w:p>
      <w:pPr>
        <w:autoSpaceDE w:val="0"/>
        <w:autoSpaceDN w:val="0"/>
        <w:snapToGrid/>
        <w:spacing w:line="560" w:lineRule="exact"/>
        <w:ind w:firstLine="562"/>
        <w:jc w:val="left"/>
        <w:rPr>
          <w:rFonts w:ascii="仿宋_GB2312" w:hAnsi="Arial" w:eastAsia="仿宋_GB2312" w:cs="微软雅黑"/>
          <w:b/>
          <w:bCs/>
          <w:kern w:val="0"/>
          <w:sz w:val="28"/>
          <w:szCs w:val="28"/>
        </w:rPr>
      </w:pPr>
      <w:bookmarkStart w:id="13" w:name="_Toc18577"/>
      <w:r>
        <w:rPr>
          <w:rFonts w:hint="eastAsia" w:ascii="仿宋_GB2312" w:hAnsi="Arial" w:eastAsia="仿宋_GB2312" w:cs="微软雅黑"/>
          <w:b/>
          <w:bCs/>
          <w:kern w:val="0"/>
          <w:sz w:val="28"/>
          <w:szCs w:val="28"/>
        </w:rPr>
        <w:t>5.分布式远程IO配置</w:t>
      </w:r>
      <w:bookmarkEnd w:id="13"/>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任务描述：选手完成生产单元与仓储单元分布式远程IO通讯配置，使其能够与PLC进行数据交互。选手通过触摸屏控制物料转运模块顶紧气缸，并将气缸的状态在触摸屏画面中展示。</w:t>
      </w:r>
    </w:p>
    <w:p>
      <w:pPr>
        <w:autoSpaceDE w:val="0"/>
        <w:autoSpaceDN w:val="0"/>
        <w:snapToGrid/>
        <w:spacing w:line="560" w:lineRule="exact"/>
        <w:ind w:firstLine="562"/>
        <w:jc w:val="left"/>
        <w:rPr>
          <w:rFonts w:ascii="仿宋_GB2312" w:hAnsi="Arial" w:eastAsia="仿宋_GB2312" w:cs="微软雅黑"/>
          <w:b/>
          <w:bCs/>
          <w:kern w:val="0"/>
          <w:sz w:val="28"/>
          <w:szCs w:val="28"/>
        </w:rPr>
      </w:pPr>
      <w:bookmarkStart w:id="14" w:name="_Toc17653"/>
      <w:r>
        <w:rPr>
          <w:rFonts w:hint="eastAsia" w:ascii="仿宋_GB2312" w:hAnsi="Arial" w:eastAsia="仿宋_GB2312" w:cs="微软雅黑"/>
          <w:b/>
          <w:bCs/>
          <w:kern w:val="0"/>
          <w:sz w:val="28"/>
          <w:szCs w:val="28"/>
        </w:rPr>
        <w:t>6.RFID读写器配置</w:t>
      </w:r>
      <w:bookmarkEnd w:id="14"/>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任务描述：选手完成RFID读写器通讯配置，使其能够与PLC进行数据交互。选手通过在六轴工业机器人装配单元的触摸屏上按下写入按钮，写入裁判指定的订单信息，在自动化仓储单元的触摸屏上按下读取</w:t>
      </w:r>
      <w:r>
        <w:rPr>
          <w:rFonts w:hint="eastAsia" w:ascii="宋体" w:hAnsi="宋体" w:cs="宋体"/>
          <w:sz w:val="28"/>
          <w:szCs w:val="28"/>
        </w:rPr>
        <w:t>按钮，</w:t>
      </w:r>
      <w:r>
        <w:rPr>
          <w:rFonts w:hint="eastAsia" w:ascii="仿宋_GB2312" w:hAnsi="Arial" w:eastAsia="仿宋_GB2312" w:cs="微软雅黑"/>
          <w:kern w:val="0"/>
          <w:sz w:val="28"/>
          <w:szCs w:val="28"/>
        </w:rPr>
        <w:t>能够读取到与写入信息相同的数据。</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读写数据解析：</w:t>
      </w:r>
    </w:p>
    <w:tbl>
      <w:tblPr>
        <w:tblStyle w:val="20"/>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0"/>
        <w:gridCol w:w="1463"/>
        <w:gridCol w:w="1532"/>
        <w:gridCol w:w="49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序号</w:t>
            </w:r>
          </w:p>
        </w:tc>
        <w:tc>
          <w:tcPr>
            <w:tcW w:w="828"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类别</w:t>
            </w:r>
          </w:p>
        </w:tc>
        <w:tc>
          <w:tcPr>
            <w:tcW w:w="867"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内容</w:t>
            </w:r>
          </w:p>
        </w:tc>
        <w:tc>
          <w:tcPr>
            <w:tcW w:w="2793"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数据1</w:t>
            </w:r>
          </w:p>
        </w:tc>
        <w:tc>
          <w:tcPr>
            <w:tcW w:w="828"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订单号</w:t>
            </w:r>
          </w:p>
        </w:tc>
        <w:tc>
          <w:tcPr>
            <w:tcW w:w="867"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1000-9999</w:t>
            </w:r>
          </w:p>
        </w:tc>
        <w:tc>
          <w:tcPr>
            <w:tcW w:w="2793"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订单号唯一，不可重复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数据2</w:t>
            </w:r>
          </w:p>
        </w:tc>
        <w:tc>
          <w:tcPr>
            <w:tcW w:w="828"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设备号</w:t>
            </w:r>
          </w:p>
        </w:tc>
        <w:tc>
          <w:tcPr>
            <w:tcW w:w="867"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1</w:t>
            </w:r>
          </w:p>
        </w:tc>
        <w:tc>
          <w:tcPr>
            <w:tcW w:w="2793"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1：六轴工业机器人装配单元；2：自动化仓储单元；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数据3</w:t>
            </w:r>
          </w:p>
        </w:tc>
        <w:tc>
          <w:tcPr>
            <w:tcW w:w="828"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底盒颜色</w:t>
            </w:r>
          </w:p>
        </w:tc>
        <w:tc>
          <w:tcPr>
            <w:tcW w:w="867"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1-3</w:t>
            </w:r>
          </w:p>
        </w:tc>
        <w:tc>
          <w:tcPr>
            <w:tcW w:w="2793"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1：红色；2：蓝色；3：黄色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数据4</w:t>
            </w:r>
          </w:p>
        </w:tc>
        <w:tc>
          <w:tcPr>
            <w:tcW w:w="828"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书签颜色</w:t>
            </w:r>
          </w:p>
        </w:tc>
        <w:tc>
          <w:tcPr>
            <w:tcW w:w="867"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1-3</w:t>
            </w:r>
          </w:p>
        </w:tc>
        <w:tc>
          <w:tcPr>
            <w:tcW w:w="2793"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1：红色；2：蓝色；3：黄色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数据5</w:t>
            </w:r>
          </w:p>
        </w:tc>
        <w:tc>
          <w:tcPr>
            <w:tcW w:w="828"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盒盖颜色</w:t>
            </w:r>
          </w:p>
        </w:tc>
        <w:tc>
          <w:tcPr>
            <w:tcW w:w="867"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1-3</w:t>
            </w:r>
          </w:p>
        </w:tc>
        <w:tc>
          <w:tcPr>
            <w:tcW w:w="2793"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1：红色；2：蓝色；3：黄色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数据6</w:t>
            </w:r>
          </w:p>
        </w:tc>
        <w:tc>
          <w:tcPr>
            <w:tcW w:w="828"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取放料位</w:t>
            </w:r>
          </w:p>
        </w:tc>
        <w:tc>
          <w:tcPr>
            <w:tcW w:w="867"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1-15</w:t>
            </w:r>
          </w:p>
        </w:tc>
        <w:tc>
          <w:tcPr>
            <w:tcW w:w="2793" w:type="pct"/>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自动化仓储单元仓位号，对于A0001——A0015；</w:t>
            </w:r>
          </w:p>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例如：3代表取放料位为：A0003</w:t>
            </w:r>
          </w:p>
        </w:tc>
      </w:tr>
    </w:tbl>
    <w:p>
      <w:pPr>
        <w:autoSpaceDE w:val="0"/>
        <w:autoSpaceDN w:val="0"/>
        <w:snapToGrid/>
        <w:spacing w:line="560" w:lineRule="exact"/>
        <w:ind w:firstLine="562"/>
        <w:jc w:val="left"/>
        <w:rPr>
          <w:rFonts w:ascii="仿宋_GB2312" w:hAnsi="Arial" w:eastAsia="仿宋_GB2312" w:cs="微软雅黑"/>
          <w:b/>
          <w:bCs/>
          <w:kern w:val="0"/>
          <w:sz w:val="28"/>
          <w:szCs w:val="28"/>
        </w:rPr>
      </w:pPr>
      <w:bookmarkStart w:id="15" w:name="_Toc386"/>
      <w:r>
        <w:rPr>
          <w:rFonts w:hint="eastAsia" w:ascii="仿宋_GB2312" w:hAnsi="Arial" w:eastAsia="仿宋_GB2312" w:cs="微软雅黑"/>
          <w:b/>
          <w:bCs/>
          <w:kern w:val="0"/>
          <w:sz w:val="28"/>
          <w:szCs w:val="28"/>
        </w:rPr>
        <w:t>7.伺服驱动器参数设置，伺服电机功能测试</w:t>
      </w:r>
      <w:bookmarkEnd w:id="15"/>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任务描述：编写PLC和HMI程序,完成仓储单元三轴机械手的回原点操作（检测到X、Y、Z轴的原点传感器后停止），并在HMI上显示当前位置（回原点操作完成后X、Y、Z轴的坐标值为0.0mm）。</w:t>
      </w:r>
    </w:p>
    <w:p>
      <w:pPr>
        <w:autoSpaceDE w:val="0"/>
        <w:autoSpaceDN w:val="0"/>
        <w:snapToGrid/>
        <w:spacing w:line="560" w:lineRule="exact"/>
        <w:ind w:firstLine="562"/>
        <w:jc w:val="left"/>
        <w:rPr>
          <w:rFonts w:ascii="仿宋_GB2312" w:hAnsi="Arial" w:eastAsia="仿宋_GB2312" w:cs="微软雅黑"/>
          <w:b/>
          <w:bCs/>
          <w:kern w:val="0"/>
          <w:sz w:val="28"/>
          <w:szCs w:val="28"/>
        </w:rPr>
      </w:pPr>
      <w:bookmarkStart w:id="16" w:name="_Toc11169"/>
      <w:r>
        <w:rPr>
          <w:rFonts w:hint="eastAsia" w:ascii="仿宋_GB2312" w:hAnsi="Arial" w:eastAsia="仿宋_GB2312" w:cs="微软雅黑"/>
          <w:b/>
          <w:bCs/>
          <w:kern w:val="0"/>
          <w:sz w:val="28"/>
          <w:szCs w:val="28"/>
        </w:rPr>
        <w:t>8.AGV参数设置与功能测试</w:t>
      </w:r>
      <w:bookmarkEnd w:id="16"/>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任务描述：配置AGV转运单元的相关等参数，建立AGV转运单元与PLC的通讯。</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在AGV转运单元开始位置启动AGV转运单元，AGV转运单元自动运行至仓储单元，调整磁条或标签位置，使AGV转运单元上的皮带和物流</w:t>
      </w:r>
      <w:r>
        <w:rPr>
          <w:rFonts w:hint="eastAsia" w:ascii="宋体" w:hAnsi="宋体" w:cs="宋体"/>
          <w:sz w:val="28"/>
          <w:szCs w:val="28"/>
        </w:rPr>
        <w:t>转</w:t>
      </w:r>
      <w:r>
        <w:rPr>
          <w:rFonts w:hint="eastAsia" w:ascii="仿宋_GB2312" w:hAnsi="Arial" w:eastAsia="仿宋_GB2312" w:cs="微软雅黑"/>
          <w:kern w:val="0"/>
          <w:sz w:val="28"/>
          <w:szCs w:val="28"/>
        </w:rPr>
        <w:t>运单元上的皮带对齐。</w:t>
      </w:r>
    </w:p>
    <w:p>
      <w:pPr>
        <w:adjustRightInd/>
        <w:snapToGrid/>
        <w:spacing w:line="240" w:lineRule="auto"/>
        <w:ind w:firstLine="0" w:firstLineChars="0"/>
        <w:rPr>
          <w:rFonts w:ascii="宋体" w:hAnsi="宋体" w:cs="宋体"/>
          <w:szCs w:val="24"/>
        </w:rPr>
      </w:pPr>
      <w:r>
        <w:rPr>
          <w:rFonts w:ascii="宋体" w:hAnsi="宋体" w:cs="宋体"/>
          <w:szCs w:val="24"/>
        </w:rPr>
        <w:drawing>
          <wp:inline distT="0" distB="0" distL="114300" distR="114300">
            <wp:extent cx="5243830" cy="2553970"/>
            <wp:effectExtent l="0" t="0" r="13970" b="6350"/>
            <wp:docPr id="3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4" descr="IMG_256"/>
                    <pic:cNvPicPr>
                      <a:picLocks noChangeAspect="1"/>
                    </pic:cNvPicPr>
                  </pic:nvPicPr>
                  <pic:blipFill>
                    <a:blip r:embed="rId17"/>
                    <a:stretch>
                      <a:fillRect/>
                    </a:stretch>
                  </pic:blipFill>
                  <pic:spPr>
                    <a:xfrm>
                      <a:off x="0" y="0"/>
                      <a:ext cx="5243830" cy="2553970"/>
                    </a:xfrm>
                    <a:prstGeom prst="rect">
                      <a:avLst/>
                    </a:prstGeom>
                    <a:noFill/>
                    <a:ln w="9525">
                      <a:noFill/>
                    </a:ln>
                  </pic:spPr>
                </pic:pic>
              </a:graphicData>
            </a:graphic>
          </wp:inline>
        </w:drawing>
      </w:r>
    </w:p>
    <w:p>
      <w:pPr>
        <w:autoSpaceDE w:val="0"/>
        <w:autoSpaceDN w:val="0"/>
        <w:snapToGrid/>
        <w:spacing w:line="560" w:lineRule="exact"/>
        <w:ind w:firstLine="562"/>
        <w:jc w:val="left"/>
        <w:rPr>
          <w:rFonts w:ascii="仿宋_GB2312" w:hAnsi="Arial" w:eastAsia="仿宋_GB2312" w:cs="微软雅黑"/>
          <w:b/>
          <w:bCs/>
          <w:kern w:val="0"/>
          <w:sz w:val="28"/>
          <w:szCs w:val="28"/>
        </w:rPr>
      </w:pPr>
      <w:bookmarkStart w:id="17" w:name="_Toc31611"/>
    </w:p>
    <w:p>
      <w:pPr>
        <w:autoSpaceDE w:val="0"/>
        <w:autoSpaceDN w:val="0"/>
        <w:snapToGrid/>
        <w:spacing w:line="560" w:lineRule="exact"/>
        <w:ind w:firstLine="562"/>
        <w:jc w:val="left"/>
        <w:rPr>
          <w:rFonts w:ascii="仿宋_GB2312" w:hAnsi="Arial" w:eastAsia="仿宋_GB2312" w:cs="微软雅黑"/>
          <w:b/>
          <w:bCs/>
          <w:kern w:val="0"/>
          <w:sz w:val="28"/>
          <w:szCs w:val="28"/>
        </w:rPr>
      </w:pPr>
      <w:r>
        <w:rPr>
          <w:rFonts w:hint="eastAsia" w:ascii="仿宋_GB2312" w:hAnsi="Arial" w:eastAsia="仿宋_GB2312" w:cs="微软雅黑"/>
          <w:b/>
          <w:bCs/>
          <w:kern w:val="0"/>
          <w:sz w:val="28"/>
          <w:szCs w:val="28"/>
        </w:rPr>
        <w:t>任务（四）工业机器人系统综合应用</w:t>
      </w:r>
      <w:bookmarkEnd w:id="17"/>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选手根据任务要求，优化节拍流程，控制六轴工业机器人、三轴机械手和AGV等设备，完成供料、加工、检测、入库和出库等任务，实现个性化定制生产，提高生产效率和产品质量。</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任务准备：</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底盒供料模块正确放置底盒（红色、蓝色和黄色各2个，分别放在B0001、B0002和B0003仓位），书签供料模块正确放置书签（红色、蓝色和黄色各2个，随机放在C0001、C0002和C0003仓位），混合仓储正确放置盒盖（要求与生产制造执行系统设置一致，A0001-A0015），</w:t>
      </w:r>
      <w:r>
        <w:rPr>
          <w:rFonts w:hint="eastAsia" w:ascii="宋体" w:hAnsi="宋体" w:cs="宋体"/>
          <w:sz w:val="28"/>
          <w:szCs w:val="28"/>
        </w:rPr>
        <w:t>PLC、</w:t>
      </w:r>
      <w:r>
        <w:rPr>
          <w:rFonts w:hint="eastAsia" w:ascii="仿宋_GB2312" w:hAnsi="Arial" w:eastAsia="仿宋_GB2312" w:cs="微软雅黑"/>
          <w:kern w:val="0"/>
          <w:sz w:val="28"/>
          <w:szCs w:val="28"/>
        </w:rPr>
        <w:t>机器人复位，打标机准备就绪，托盘放置于生产单元物料转运模块的RFID读写位置，AGV小车位于开始位置，仓储单元X/Y/Z各轴均位于零点位置。</w:t>
      </w:r>
    </w:p>
    <w:p>
      <w:pPr>
        <w:autoSpaceDE w:val="0"/>
        <w:autoSpaceDN w:val="0"/>
        <w:snapToGrid/>
        <w:spacing w:line="560" w:lineRule="exact"/>
        <w:ind w:firstLine="562"/>
        <w:jc w:val="left"/>
        <w:rPr>
          <w:rFonts w:ascii="仿宋_GB2312" w:hAnsi="Arial" w:eastAsia="仿宋_GB2312" w:cs="微软雅黑"/>
          <w:b/>
          <w:bCs/>
          <w:kern w:val="0"/>
          <w:sz w:val="28"/>
          <w:szCs w:val="28"/>
        </w:rPr>
      </w:pPr>
      <w:r>
        <w:rPr>
          <w:rFonts w:hint="eastAsia" w:ascii="仿宋_GB2312" w:hAnsi="Arial" w:eastAsia="仿宋_GB2312" w:cs="微软雅黑"/>
          <w:b/>
          <w:bCs/>
          <w:kern w:val="0"/>
          <w:sz w:val="28"/>
          <w:szCs w:val="28"/>
        </w:rPr>
        <w:t>任务要求：</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通过MES排产，下发订单后系统自动进行生产流程、AGV转运流程、入库流程、出库流程。</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（1）在AGV转运单元开始位置启动AGV转运单元。</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2）按下急停按钮，所有信号均停止输出，松开急停旋钮，清除报警信息，复位指示灯以2Hz频率闪烁其余指示灯熄灭，按下复位按钮，复位按钮指示灯常亮，其余指示灯熄灭，进行复位（所有气缸和电磁阀），工业机器人运行到安全指定位置（J1：0°、J2:0°、J3:0°、J4：0°、J5：-90°、J6：0°；），复位完成后启动指示灯以2Hz 频率闪烁，其余指示灯熄灭，按下启动按钮，启动按钮指示灯常亮其余指示灯熄灭系统进入运行状态。</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（3）通过MES启动系统，设定订单数量，交货时间等，下发两个订单并将订单信息显示在生产单元触摸屏上。按照下表增加订单明细，选择底盒/书签/盒盖颜色，图案样式，自动生成取料位和放料位。</w:t>
      </w:r>
    </w:p>
    <w:tbl>
      <w:tblPr>
        <w:tblStyle w:val="20"/>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86"/>
        <w:gridCol w:w="1234"/>
        <w:gridCol w:w="1275"/>
        <w:gridCol w:w="1266"/>
        <w:gridCol w:w="1275"/>
        <w:gridCol w:w="2264"/>
        <w:gridCol w:w="7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445"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序号</w:t>
            </w:r>
          </w:p>
        </w:tc>
        <w:tc>
          <w:tcPr>
            <w:tcW w:w="699"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底盒颜色</w:t>
            </w:r>
          </w:p>
        </w:tc>
        <w:tc>
          <w:tcPr>
            <w:tcW w:w="722"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书签颜色</w:t>
            </w:r>
          </w:p>
        </w:tc>
        <w:tc>
          <w:tcPr>
            <w:tcW w:w="717"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盒盖颜色</w:t>
            </w:r>
          </w:p>
        </w:tc>
        <w:tc>
          <w:tcPr>
            <w:tcW w:w="722"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图案样式</w:t>
            </w:r>
          </w:p>
        </w:tc>
        <w:tc>
          <w:tcPr>
            <w:tcW w:w="1282"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文字内容</w:t>
            </w:r>
          </w:p>
        </w:tc>
        <w:tc>
          <w:tcPr>
            <w:tcW w:w="413" w:type="pct"/>
            <w:tcBorders>
              <w:top w:val="single" w:color="auto" w:sz="4" w:space="0"/>
              <w:left w:val="single" w:color="auto" w:sz="4" w:space="0"/>
              <w:bottom w:val="single" w:color="auto" w:sz="4" w:space="0"/>
              <w:right w:val="single" w:color="auto" w:sz="4" w:space="0"/>
            </w:tcBorders>
            <w:shd w:val="clear" w:color="auto" w:fill="auto"/>
            <w:vAlign w:val="center"/>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445" w:type="pct"/>
            <w:tcBorders>
              <w:top w:val="single" w:color="auto" w:sz="4" w:space="0"/>
              <w:left w:val="single" w:color="auto" w:sz="4" w:space="0"/>
              <w:bottom w:val="single" w:color="auto" w:sz="4" w:space="0"/>
              <w:right w:val="single" w:color="auto" w:sz="4" w:space="0"/>
            </w:tcBorders>
            <w:shd w:val="clear" w:color="auto" w:fill="auto"/>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1</w:t>
            </w:r>
          </w:p>
        </w:tc>
        <w:tc>
          <w:tcPr>
            <w:tcW w:w="699" w:type="pct"/>
            <w:tcBorders>
              <w:top w:val="single" w:color="auto" w:sz="4" w:space="0"/>
              <w:left w:val="single" w:color="auto" w:sz="4" w:space="0"/>
              <w:bottom w:val="single" w:color="auto" w:sz="4" w:space="0"/>
              <w:right w:val="single" w:color="auto" w:sz="4" w:space="0"/>
            </w:tcBorders>
            <w:shd w:val="clear" w:color="auto" w:fill="auto"/>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蓝</w:t>
            </w:r>
          </w:p>
        </w:tc>
        <w:tc>
          <w:tcPr>
            <w:tcW w:w="722" w:type="pct"/>
            <w:tcBorders>
              <w:top w:val="single" w:color="auto" w:sz="4" w:space="0"/>
              <w:left w:val="single" w:color="auto" w:sz="4" w:space="0"/>
              <w:bottom w:val="single" w:color="auto" w:sz="4" w:space="0"/>
              <w:right w:val="single" w:color="auto" w:sz="4" w:space="0"/>
            </w:tcBorders>
            <w:shd w:val="clear" w:color="auto" w:fill="auto"/>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黄</w:t>
            </w:r>
          </w:p>
        </w:tc>
        <w:tc>
          <w:tcPr>
            <w:tcW w:w="717" w:type="pct"/>
            <w:tcBorders>
              <w:top w:val="single" w:color="auto" w:sz="4" w:space="0"/>
              <w:left w:val="single" w:color="auto" w:sz="4" w:space="0"/>
              <w:bottom w:val="single" w:color="auto" w:sz="4" w:space="0"/>
              <w:right w:val="single" w:color="auto" w:sz="4" w:space="0"/>
            </w:tcBorders>
            <w:shd w:val="clear" w:color="auto" w:fill="auto"/>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蓝</w:t>
            </w:r>
          </w:p>
        </w:tc>
        <w:tc>
          <w:tcPr>
            <w:tcW w:w="722" w:type="pct"/>
            <w:tcBorders>
              <w:top w:val="single" w:color="auto" w:sz="4" w:space="0"/>
              <w:left w:val="single" w:color="auto" w:sz="4" w:space="0"/>
              <w:bottom w:val="single" w:color="auto" w:sz="4" w:space="0"/>
              <w:right w:val="single" w:color="auto" w:sz="4" w:space="0"/>
            </w:tcBorders>
            <w:shd w:val="clear" w:color="auto" w:fill="auto"/>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兰</w:t>
            </w:r>
          </w:p>
        </w:tc>
        <w:tc>
          <w:tcPr>
            <w:tcW w:w="1282" w:type="pct"/>
            <w:tcBorders>
              <w:top w:val="single" w:color="auto" w:sz="4" w:space="0"/>
              <w:left w:val="single" w:color="auto" w:sz="4" w:space="0"/>
              <w:bottom w:val="single" w:color="auto" w:sz="4" w:space="0"/>
              <w:right w:val="single" w:color="auto" w:sz="4" w:space="0"/>
            </w:tcBorders>
            <w:shd w:val="clear" w:color="auto" w:fill="auto"/>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一息若存希望不灭</w:t>
            </w:r>
          </w:p>
        </w:tc>
        <w:tc>
          <w:tcPr>
            <w:tcW w:w="413" w:type="pct"/>
            <w:tcBorders>
              <w:top w:val="single" w:color="auto" w:sz="4" w:space="0"/>
              <w:left w:val="single" w:color="auto" w:sz="4" w:space="0"/>
              <w:bottom w:val="single" w:color="auto" w:sz="4" w:space="0"/>
              <w:right w:val="single" w:color="auto" w:sz="4" w:space="0"/>
            </w:tcBorders>
            <w:shd w:val="clear" w:color="auto" w:fill="auto"/>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445" w:type="pct"/>
            <w:tcBorders>
              <w:top w:val="single" w:color="auto" w:sz="4" w:space="0"/>
              <w:left w:val="single" w:color="auto" w:sz="4" w:space="0"/>
              <w:bottom w:val="single" w:color="auto" w:sz="4" w:space="0"/>
              <w:right w:val="single" w:color="auto" w:sz="4" w:space="0"/>
            </w:tcBorders>
            <w:shd w:val="clear" w:color="auto" w:fill="auto"/>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2</w:t>
            </w:r>
          </w:p>
        </w:tc>
        <w:tc>
          <w:tcPr>
            <w:tcW w:w="699" w:type="pct"/>
            <w:tcBorders>
              <w:top w:val="single" w:color="auto" w:sz="4" w:space="0"/>
              <w:left w:val="single" w:color="auto" w:sz="4" w:space="0"/>
              <w:bottom w:val="single" w:color="auto" w:sz="4" w:space="0"/>
              <w:right w:val="single" w:color="auto" w:sz="4" w:space="0"/>
            </w:tcBorders>
            <w:shd w:val="clear" w:color="auto" w:fill="auto"/>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黄</w:t>
            </w:r>
          </w:p>
        </w:tc>
        <w:tc>
          <w:tcPr>
            <w:tcW w:w="722" w:type="pct"/>
            <w:tcBorders>
              <w:top w:val="single" w:color="auto" w:sz="4" w:space="0"/>
              <w:left w:val="single" w:color="auto" w:sz="4" w:space="0"/>
              <w:bottom w:val="single" w:color="auto" w:sz="4" w:space="0"/>
              <w:right w:val="single" w:color="auto" w:sz="4" w:space="0"/>
            </w:tcBorders>
            <w:shd w:val="clear" w:color="auto" w:fill="auto"/>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蓝</w:t>
            </w:r>
          </w:p>
        </w:tc>
        <w:tc>
          <w:tcPr>
            <w:tcW w:w="717" w:type="pct"/>
            <w:tcBorders>
              <w:top w:val="single" w:color="auto" w:sz="4" w:space="0"/>
              <w:left w:val="single" w:color="auto" w:sz="4" w:space="0"/>
              <w:bottom w:val="single" w:color="auto" w:sz="4" w:space="0"/>
              <w:right w:val="single" w:color="auto" w:sz="4" w:space="0"/>
            </w:tcBorders>
            <w:shd w:val="clear" w:color="auto" w:fill="auto"/>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黄</w:t>
            </w:r>
          </w:p>
        </w:tc>
        <w:tc>
          <w:tcPr>
            <w:tcW w:w="722" w:type="pct"/>
            <w:tcBorders>
              <w:top w:val="single" w:color="auto" w:sz="4" w:space="0"/>
              <w:left w:val="single" w:color="auto" w:sz="4" w:space="0"/>
              <w:bottom w:val="single" w:color="auto" w:sz="4" w:space="0"/>
              <w:right w:val="single" w:color="auto" w:sz="4" w:space="0"/>
            </w:tcBorders>
            <w:shd w:val="clear" w:color="auto" w:fill="auto"/>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竹</w:t>
            </w:r>
          </w:p>
        </w:tc>
        <w:tc>
          <w:tcPr>
            <w:tcW w:w="1282" w:type="pct"/>
            <w:tcBorders>
              <w:top w:val="single" w:color="auto" w:sz="4" w:space="0"/>
              <w:left w:val="single" w:color="auto" w:sz="4" w:space="0"/>
              <w:bottom w:val="single" w:color="auto" w:sz="4" w:space="0"/>
              <w:right w:val="single" w:color="auto" w:sz="4" w:space="0"/>
            </w:tcBorders>
            <w:shd w:val="clear" w:color="auto" w:fill="auto"/>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学无止境勇攀高峰</w:t>
            </w:r>
          </w:p>
        </w:tc>
        <w:tc>
          <w:tcPr>
            <w:tcW w:w="413" w:type="pct"/>
            <w:tcBorders>
              <w:top w:val="single" w:color="auto" w:sz="4" w:space="0"/>
              <w:left w:val="single" w:color="auto" w:sz="4" w:space="0"/>
              <w:bottom w:val="single" w:color="auto" w:sz="4" w:space="0"/>
              <w:right w:val="single" w:color="auto" w:sz="4" w:space="0"/>
            </w:tcBorders>
            <w:shd w:val="clear" w:color="auto" w:fill="auto"/>
          </w:tcPr>
          <w:p>
            <w:pPr>
              <w:adjustRightInd/>
              <w:snapToGrid/>
              <w:spacing w:line="240" w:lineRule="auto"/>
              <w:ind w:firstLine="0" w:firstLineChars="0"/>
              <w:jc w:val="center"/>
              <w:rPr>
                <w:rFonts w:ascii="Times New Roman" w:hAnsi="Times New Roman" w:eastAsia="仿宋_GB2312"/>
                <w:sz w:val="21"/>
                <w:szCs w:val="21"/>
              </w:rPr>
            </w:pPr>
            <w:r>
              <w:rPr>
                <w:rFonts w:hint="eastAsia" w:ascii="Times New Roman" w:hAnsi="Times New Roman" w:eastAsia="仿宋_GB2312"/>
                <w:sz w:val="21"/>
                <w:szCs w:val="21"/>
              </w:rPr>
              <w:t>1</w:t>
            </w:r>
          </w:p>
        </w:tc>
      </w:tr>
    </w:tbl>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（4）MES自动排产，启动系统，设备自动运行（除了MES下单外，不可操作设备，紧急情况下可操作急停），完成成品的入库。</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（5）MES完成成品出库。</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在MES系统上依次选择完成的订单1、2的成品出库，并正确放入出库斜槽内。</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（6）MES看板实现设备监控。</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根据任务要求，通过MES看板显示机器人信息、生产订单数据、AGV转运单元状态、打标机状态；</w:t>
      </w:r>
    </w:p>
    <w:p>
      <w:pPr>
        <w:autoSpaceDE w:val="0"/>
        <w:autoSpaceDN w:val="0"/>
        <w:snapToGrid/>
        <w:spacing w:line="560" w:lineRule="exact"/>
        <w:ind w:firstLine="560"/>
        <w:jc w:val="left"/>
        <w:rPr>
          <w:rFonts w:ascii="仿宋_GB2312" w:hAnsi="Arial" w:eastAsia="仿宋_GB2312" w:cs="微软雅黑"/>
          <w:kern w:val="0"/>
          <w:sz w:val="28"/>
          <w:szCs w:val="28"/>
        </w:rPr>
      </w:pPr>
      <w:r>
        <w:rPr>
          <w:rFonts w:hint="eastAsia" w:ascii="仿宋_GB2312" w:hAnsi="Arial" w:eastAsia="仿宋_GB2312" w:cs="微软雅黑"/>
          <w:kern w:val="0"/>
          <w:sz w:val="28"/>
          <w:szCs w:val="28"/>
        </w:rPr>
        <w:t>通过MES看板显示生产单元、仓储单元和AGV转运单元运行视频界面。</w:t>
      </w:r>
    </w:p>
    <w:p>
      <w:pPr>
        <w:autoSpaceDE w:val="0"/>
        <w:autoSpaceDN w:val="0"/>
        <w:snapToGrid/>
        <w:spacing w:line="560" w:lineRule="exact"/>
        <w:ind w:firstLine="0" w:firstLineChars="0"/>
        <w:jc w:val="left"/>
        <w:rPr>
          <w:rFonts w:ascii="仿宋_GB2312" w:hAnsi="Arial" w:eastAsia="仿宋_GB2312" w:cs="微软雅黑"/>
          <w:kern w:val="0"/>
          <w:sz w:val="28"/>
          <w:szCs w:val="28"/>
        </w:rPr>
      </w:pPr>
    </w:p>
    <w:sectPr>
      <w:footerReference r:id="rId11" w:type="default"/>
      <w:pgSz w:w="11906" w:h="16838"/>
      <w:pgMar w:top="1440" w:right="1644" w:bottom="1440" w:left="1644"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w:panose1 w:val="02040503050406030204"/>
    <w:charset w:val="00"/>
    <w:family w:val="roman"/>
    <w:pitch w:val="default"/>
    <w:sig w:usb0="E00002FF" w:usb1="400004FF" w:usb2="00000000" w:usb3="00000000" w:csb0="2000019F" w:csb1="00000000"/>
  </w:font>
  <w:font w:name="仿宋_GB2312">
    <w:altName w:val="仿宋"/>
    <w:panose1 w:val="02010609030101010101"/>
    <w:charset w:val="86"/>
    <w:family w:val="modern"/>
    <w:pitch w:val="default"/>
    <w:sig w:usb0="00000000" w:usb1="00000000" w:usb2="00000010" w:usb3="00000000" w:csb0="00040000" w:csb1="00000000"/>
  </w:font>
  <w:font w:name="Arial">
    <w:panose1 w:val="020B0604020202020204"/>
    <w:charset w:val="00"/>
    <w:family w:val="swiss"/>
    <w:pitch w:val="default"/>
    <w:sig w:usb0="E0002AFF" w:usb1="C0007843" w:usb2="00000009" w:usb3="00000000" w:csb0="400001FF" w:csb1="FFFF0000"/>
  </w:font>
  <w:font w:name="华文中宋">
    <w:panose1 w:val="02010600040101010101"/>
    <w:charset w:val="86"/>
    <w:family w:val="auto"/>
    <w:pitch w:val="default"/>
    <w:sig w:usb0="00000287" w:usb1="080F0000" w:usb2="00000000" w:usb3="00000000" w:csb0="0004009F" w:csb1="DFD70000"/>
  </w:font>
  <w:font w:name="方正小标宋_GBK">
    <w:altName w:val="微软雅黑"/>
    <w:panose1 w:val="00000000000000000000"/>
    <w:charset w:val="86"/>
    <w:family w:val="auto"/>
    <w:pitch w:val="default"/>
    <w:sig w:usb0="00000000" w:usb1="00000000" w:usb2="00000000" w:usb3="00000000" w:csb0="00040000" w:csb1="00000000"/>
  </w:font>
  <w:font w:name="微软雅黑">
    <w:panose1 w:val="020B0503020204020204"/>
    <w:charset w:val="86"/>
    <w:family w:val="swiss"/>
    <w:pitch w:val="default"/>
    <w:sig w:usb0="80000287" w:usb1="280F3C52" w:usb2="00000016" w:usb3="00000000" w:csb0="0004001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459105" cy="147955"/>
              <wp:effectExtent l="0" t="0" r="0" b="0"/>
              <wp:wrapNone/>
              <wp:docPr id="1512925906" name="Text Box 2"/>
              <wp:cNvGraphicFramePr/>
              <a:graphic xmlns:a="http://schemas.openxmlformats.org/drawingml/2006/main">
                <a:graphicData uri="http://schemas.microsoft.com/office/word/2010/wordprocessingShape">
                  <wps:wsp>
                    <wps:cNvSpPr txBox="1">
                      <a:spLocks noChangeArrowheads="1"/>
                    </wps:cNvSpPr>
                    <wps:spPr bwMode="auto">
                      <a:xfrm>
                        <a:off x="0" y="0"/>
                        <a:ext cx="459105" cy="147955"/>
                      </a:xfrm>
                      <a:prstGeom prst="rect">
                        <a:avLst/>
                      </a:prstGeom>
                      <a:noFill/>
                      <a:ln>
                        <a:noFill/>
                      </a:ln>
                    </wps:spPr>
                    <wps:txbx>
                      <w:txbxContent>
                        <w:p>
                          <w:pPr>
                            <w:pStyle w:val="12"/>
                          </w:pPr>
                          <w:r>
                            <w:t xml:space="preserve">第 </w:t>
                          </w:r>
                          <w:r>
                            <w:fldChar w:fldCharType="begin"/>
                          </w:r>
                          <w:r>
                            <w:instrText xml:space="preserve"> PAGE  \* MERGEFORMAT </w:instrText>
                          </w:r>
                          <w:r>
                            <w:fldChar w:fldCharType="separate"/>
                          </w:r>
                          <w:r>
                            <w:t>1</w:t>
                          </w:r>
                          <w:r>
                            <w:fldChar w:fldCharType="end"/>
                          </w:r>
                          <w:r>
                            <w:t xml:space="preserve"> 页</w:t>
                          </w:r>
                        </w:p>
                      </w:txbxContent>
                    </wps:txbx>
                    <wps:bodyPr rot="0" vert="horz" wrap="none" lIns="0" tIns="0" rIns="0" bIns="0" anchor="t" anchorCtr="0" upright="1">
                      <a:spAutoFit/>
                    </wps:bodyPr>
                  </wps:wsp>
                </a:graphicData>
              </a:graphic>
            </wp:anchor>
          </w:drawing>
        </mc:Choice>
        <mc:Fallback>
          <w:pict>
            <v:shape id="Text Box 2" o:spid="_x0000_s1026" o:spt="202" type="#_x0000_t202" style="position:absolute;left:0pt;margin-top:0pt;height:11.65pt;width:36.15pt;mso-position-horizontal:center;mso-position-horizontal-relative:margin;mso-wrap-style:none;z-index:251659264;mso-width-relative:page;mso-height-relative:page;" filled="f" stroked="f" coordsize="21600,21600" o:gfxdata="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olECTdEAAAADAQAADwAAAAAAAAABACAAAAAiAAAAZHJzL2Rvd25yZXYu&#10;eG1sUEsBAhQAFAAAAAgAh07iQB0+8R4CAgAACgQAAA4AAAAAAAAAAQAgAAAAIAEAAGRycy9lMm9E&#10;b2MueG1sUEsFBgAAAAAGAAYAWQEAAJQFAAAAAA==&#10;">
              <v:fill on="f" focussize="0,0"/>
              <v:stroke on="f"/>
              <v:imagedata o:title=""/>
              <o:lock v:ext="edit" aspectratio="f"/>
              <v:textbox inset="0mm,0mm,0mm,0mm" style="mso-fit-shape-to-text:t;">
                <w:txbxContent>
                  <w:p>
                    <w:pPr>
                      <w:pStyle w:val="12"/>
                    </w:pPr>
                    <w:r>
                      <w:t xml:space="preserve">第 </w:t>
                    </w:r>
                    <w:r>
                      <w:fldChar w:fldCharType="begin"/>
                    </w:r>
                    <w:r>
                      <w:instrText xml:space="preserve"> PAGE  \* MERGEFORMAT </w:instrText>
                    </w:r>
                    <w:r>
                      <w:fldChar w:fldCharType="separate"/>
                    </w:r>
                    <w:r>
                      <w:t>1</w:t>
                    </w:r>
                    <w:r>
                      <w:fldChar w:fldCharType="end"/>
                    </w:r>
                    <w:r>
                      <w:t xml:space="preserve"> 页</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480"/>
    </w:pPr>
    <w:r>
      <w:tab/>
    </w:r>
    <w:r>
      <w:tab/>
    </w:r>
    <w:r>
      <w:tab/>
    </w:r>
    <w:r>
      <w:tab/>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val="bestFit" w:percent="223"/>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TQ3MzJjNDcwZGMwNGU1MmI4NTFlZjEzMGY4ZTdmN2UifQ=="/>
  </w:docVars>
  <w:rsids>
    <w:rsidRoot w:val="005433F2"/>
    <w:rsid w:val="0001261B"/>
    <w:rsid w:val="000137CA"/>
    <w:rsid w:val="000255ED"/>
    <w:rsid w:val="000369B0"/>
    <w:rsid w:val="00036C2E"/>
    <w:rsid w:val="00036C61"/>
    <w:rsid w:val="0004207D"/>
    <w:rsid w:val="00046C4B"/>
    <w:rsid w:val="00046E02"/>
    <w:rsid w:val="00050412"/>
    <w:rsid w:val="00065D19"/>
    <w:rsid w:val="00075B2B"/>
    <w:rsid w:val="00094B0F"/>
    <w:rsid w:val="00097C5A"/>
    <w:rsid w:val="000A33A3"/>
    <w:rsid w:val="000A5D47"/>
    <w:rsid w:val="000C4303"/>
    <w:rsid w:val="000C691B"/>
    <w:rsid w:val="000F2D60"/>
    <w:rsid w:val="00100220"/>
    <w:rsid w:val="00110101"/>
    <w:rsid w:val="00112681"/>
    <w:rsid w:val="00120F5B"/>
    <w:rsid w:val="001240F5"/>
    <w:rsid w:val="00126DE7"/>
    <w:rsid w:val="0013151E"/>
    <w:rsid w:val="00135746"/>
    <w:rsid w:val="001572A3"/>
    <w:rsid w:val="00165344"/>
    <w:rsid w:val="001751AF"/>
    <w:rsid w:val="00183E6F"/>
    <w:rsid w:val="00185FB4"/>
    <w:rsid w:val="00186C7D"/>
    <w:rsid w:val="00191608"/>
    <w:rsid w:val="00195E8D"/>
    <w:rsid w:val="001A2691"/>
    <w:rsid w:val="001B53C1"/>
    <w:rsid w:val="001B554D"/>
    <w:rsid w:val="001B7AEB"/>
    <w:rsid w:val="001C795C"/>
    <w:rsid w:val="001D0C37"/>
    <w:rsid w:val="001D1F79"/>
    <w:rsid w:val="001D6BC5"/>
    <w:rsid w:val="001E1456"/>
    <w:rsid w:val="001E7B2D"/>
    <w:rsid w:val="001F5915"/>
    <w:rsid w:val="001F5C53"/>
    <w:rsid w:val="00201E23"/>
    <w:rsid w:val="0022248B"/>
    <w:rsid w:val="00230EB9"/>
    <w:rsid w:val="00232CB8"/>
    <w:rsid w:val="00246575"/>
    <w:rsid w:val="00246963"/>
    <w:rsid w:val="00247D96"/>
    <w:rsid w:val="002754DD"/>
    <w:rsid w:val="00275C3C"/>
    <w:rsid w:val="002809E7"/>
    <w:rsid w:val="00280DBD"/>
    <w:rsid w:val="002923F6"/>
    <w:rsid w:val="00295532"/>
    <w:rsid w:val="002A7000"/>
    <w:rsid w:val="002B02C0"/>
    <w:rsid w:val="002B5842"/>
    <w:rsid w:val="002C37E5"/>
    <w:rsid w:val="002C4843"/>
    <w:rsid w:val="002C648F"/>
    <w:rsid w:val="002D253E"/>
    <w:rsid w:val="002D4690"/>
    <w:rsid w:val="002E35E9"/>
    <w:rsid w:val="002F4827"/>
    <w:rsid w:val="00320157"/>
    <w:rsid w:val="003275F1"/>
    <w:rsid w:val="00333FD4"/>
    <w:rsid w:val="00334663"/>
    <w:rsid w:val="00335DE1"/>
    <w:rsid w:val="00336727"/>
    <w:rsid w:val="00342860"/>
    <w:rsid w:val="00345468"/>
    <w:rsid w:val="00346DBD"/>
    <w:rsid w:val="00354E5F"/>
    <w:rsid w:val="00356F72"/>
    <w:rsid w:val="003601A1"/>
    <w:rsid w:val="00360FC2"/>
    <w:rsid w:val="003640E1"/>
    <w:rsid w:val="003646BA"/>
    <w:rsid w:val="0036471C"/>
    <w:rsid w:val="003735D9"/>
    <w:rsid w:val="003739E7"/>
    <w:rsid w:val="00380D80"/>
    <w:rsid w:val="003816C9"/>
    <w:rsid w:val="003824CC"/>
    <w:rsid w:val="00390C2E"/>
    <w:rsid w:val="003944F3"/>
    <w:rsid w:val="00396D35"/>
    <w:rsid w:val="00397156"/>
    <w:rsid w:val="003A38E1"/>
    <w:rsid w:val="003A4B21"/>
    <w:rsid w:val="003A56A0"/>
    <w:rsid w:val="003B792D"/>
    <w:rsid w:val="003C0CD3"/>
    <w:rsid w:val="003C0D1E"/>
    <w:rsid w:val="003C16E6"/>
    <w:rsid w:val="003C3B69"/>
    <w:rsid w:val="003C5154"/>
    <w:rsid w:val="003C7B3E"/>
    <w:rsid w:val="003E1D61"/>
    <w:rsid w:val="003E2CA8"/>
    <w:rsid w:val="003E6ADE"/>
    <w:rsid w:val="003F3345"/>
    <w:rsid w:val="003F42D4"/>
    <w:rsid w:val="003F5E6B"/>
    <w:rsid w:val="003F769F"/>
    <w:rsid w:val="004078A9"/>
    <w:rsid w:val="00413F38"/>
    <w:rsid w:val="00422792"/>
    <w:rsid w:val="00432C1C"/>
    <w:rsid w:val="004420C5"/>
    <w:rsid w:val="00450F28"/>
    <w:rsid w:val="00452B14"/>
    <w:rsid w:val="00454B87"/>
    <w:rsid w:val="004551E5"/>
    <w:rsid w:val="00455A7A"/>
    <w:rsid w:val="004563EF"/>
    <w:rsid w:val="004620A8"/>
    <w:rsid w:val="004631D4"/>
    <w:rsid w:val="00466516"/>
    <w:rsid w:val="00467891"/>
    <w:rsid w:val="0047383D"/>
    <w:rsid w:val="00473A57"/>
    <w:rsid w:val="00474811"/>
    <w:rsid w:val="0047557E"/>
    <w:rsid w:val="00490D3E"/>
    <w:rsid w:val="004A1C45"/>
    <w:rsid w:val="004B1488"/>
    <w:rsid w:val="004C0DB2"/>
    <w:rsid w:val="004C33B8"/>
    <w:rsid w:val="004D19E2"/>
    <w:rsid w:val="004D37C0"/>
    <w:rsid w:val="004D4B82"/>
    <w:rsid w:val="004D5B91"/>
    <w:rsid w:val="004D7879"/>
    <w:rsid w:val="004E1E3F"/>
    <w:rsid w:val="004E3919"/>
    <w:rsid w:val="004E71A7"/>
    <w:rsid w:val="004F053C"/>
    <w:rsid w:val="00502B0C"/>
    <w:rsid w:val="005047D1"/>
    <w:rsid w:val="00514970"/>
    <w:rsid w:val="00521F4B"/>
    <w:rsid w:val="005433F2"/>
    <w:rsid w:val="00545ED7"/>
    <w:rsid w:val="005508E9"/>
    <w:rsid w:val="005659A2"/>
    <w:rsid w:val="00581772"/>
    <w:rsid w:val="00584AED"/>
    <w:rsid w:val="005867E2"/>
    <w:rsid w:val="005949B9"/>
    <w:rsid w:val="005966D3"/>
    <w:rsid w:val="005969F3"/>
    <w:rsid w:val="005A50BD"/>
    <w:rsid w:val="005B25D5"/>
    <w:rsid w:val="005B75EB"/>
    <w:rsid w:val="005C72DE"/>
    <w:rsid w:val="005D6203"/>
    <w:rsid w:val="005E1C77"/>
    <w:rsid w:val="00603893"/>
    <w:rsid w:val="00603FD4"/>
    <w:rsid w:val="006078D9"/>
    <w:rsid w:val="00610506"/>
    <w:rsid w:val="006162D5"/>
    <w:rsid w:val="00620A7A"/>
    <w:rsid w:val="00623E17"/>
    <w:rsid w:val="00626761"/>
    <w:rsid w:val="006357AE"/>
    <w:rsid w:val="00640FE5"/>
    <w:rsid w:val="00650766"/>
    <w:rsid w:val="0065430F"/>
    <w:rsid w:val="006555D9"/>
    <w:rsid w:val="0065752C"/>
    <w:rsid w:val="0066181D"/>
    <w:rsid w:val="00661B88"/>
    <w:rsid w:val="0066569B"/>
    <w:rsid w:val="0067690F"/>
    <w:rsid w:val="00676AD6"/>
    <w:rsid w:val="00686831"/>
    <w:rsid w:val="0068744E"/>
    <w:rsid w:val="00687820"/>
    <w:rsid w:val="006A07BA"/>
    <w:rsid w:val="006C3879"/>
    <w:rsid w:val="006C6019"/>
    <w:rsid w:val="006C653B"/>
    <w:rsid w:val="006D0CBC"/>
    <w:rsid w:val="006D0E0E"/>
    <w:rsid w:val="006D1DF4"/>
    <w:rsid w:val="006D25FF"/>
    <w:rsid w:val="006D3B54"/>
    <w:rsid w:val="006D5207"/>
    <w:rsid w:val="006F015F"/>
    <w:rsid w:val="006F6BCA"/>
    <w:rsid w:val="0070371C"/>
    <w:rsid w:val="0070686E"/>
    <w:rsid w:val="007074BF"/>
    <w:rsid w:val="007103B7"/>
    <w:rsid w:val="00716465"/>
    <w:rsid w:val="00716914"/>
    <w:rsid w:val="007203D2"/>
    <w:rsid w:val="00722D67"/>
    <w:rsid w:val="00731CFC"/>
    <w:rsid w:val="00735F8E"/>
    <w:rsid w:val="0073657B"/>
    <w:rsid w:val="00742E6F"/>
    <w:rsid w:val="00745B7C"/>
    <w:rsid w:val="007465E6"/>
    <w:rsid w:val="0076045C"/>
    <w:rsid w:val="00763166"/>
    <w:rsid w:val="00763239"/>
    <w:rsid w:val="00766485"/>
    <w:rsid w:val="00767355"/>
    <w:rsid w:val="00771552"/>
    <w:rsid w:val="007777FC"/>
    <w:rsid w:val="007903E1"/>
    <w:rsid w:val="007915AE"/>
    <w:rsid w:val="00791614"/>
    <w:rsid w:val="007B14DF"/>
    <w:rsid w:val="007B1945"/>
    <w:rsid w:val="007B35B3"/>
    <w:rsid w:val="007B404A"/>
    <w:rsid w:val="007C009C"/>
    <w:rsid w:val="007C22CB"/>
    <w:rsid w:val="007C2E24"/>
    <w:rsid w:val="007C30A7"/>
    <w:rsid w:val="007D1AEA"/>
    <w:rsid w:val="007D2CA8"/>
    <w:rsid w:val="007E306C"/>
    <w:rsid w:val="007E59A4"/>
    <w:rsid w:val="007E6301"/>
    <w:rsid w:val="007F2724"/>
    <w:rsid w:val="007F4916"/>
    <w:rsid w:val="00804821"/>
    <w:rsid w:val="00807AF0"/>
    <w:rsid w:val="0081145F"/>
    <w:rsid w:val="00817A77"/>
    <w:rsid w:val="008248E7"/>
    <w:rsid w:val="00826590"/>
    <w:rsid w:val="00831995"/>
    <w:rsid w:val="00833689"/>
    <w:rsid w:val="008456CD"/>
    <w:rsid w:val="00851190"/>
    <w:rsid w:val="0086337D"/>
    <w:rsid w:val="008703E1"/>
    <w:rsid w:val="00873330"/>
    <w:rsid w:val="00877D31"/>
    <w:rsid w:val="008832C6"/>
    <w:rsid w:val="0089133D"/>
    <w:rsid w:val="00893D98"/>
    <w:rsid w:val="00894C10"/>
    <w:rsid w:val="00895FFC"/>
    <w:rsid w:val="008977B0"/>
    <w:rsid w:val="008A3D93"/>
    <w:rsid w:val="008A4358"/>
    <w:rsid w:val="008B1FEE"/>
    <w:rsid w:val="008C038A"/>
    <w:rsid w:val="008C4D79"/>
    <w:rsid w:val="008C516F"/>
    <w:rsid w:val="008D11FC"/>
    <w:rsid w:val="008D1505"/>
    <w:rsid w:val="008D305B"/>
    <w:rsid w:val="008D492A"/>
    <w:rsid w:val="008D7A46"/>
    <w:rsid w:val="008E4C8A"/>
    <w:rsid w:val="008E76F1"/>
    <w:rsid w:val="008F11B0"/>
    <w:rsid w:val="008F6460"/>
    <w:rsid w:val="00900109"/>
    <w:rsid w:val="00902094"/>
    <w:rsid w:val="00915FA5"/>
    <w:rsid w:val="0094210A"/>
    <w:rsid w:val="00956884"/>
    <w:rsid w:val="00971E20"/>
    <w:rsid w:val="00972EF0"/>
    <w:rsid w:val="00980F5F"/>
    <w:rsid w:val="009872FA"/>
    <w:rsid w:val="00991E34"/>
    <w:rsid w:val="00992CE0"/>
    <w:rsid w:val="009A4E1F"/>
    <w:rsid w:val="009B724A"/>
    <w:rsid w:val="009D6D9C"/>
    <w:rsid w:val="009E4AED"/>
    <w:rsid w:val="009E6FD6"/>
    <w:rsid w:val="009F2973"/>
    <w:rsid w:val="00A206CE"/>
    <w:rsid w:val="00A61E6D"/>
    <w:rsid w:val="00A653CD"/>
    <w:rsid w:val="00A65D1F"/>
    <w:rsid w:val="00A66354"/>
    <w:rsid w:val="00A7649A"/>
    <w:rsid w:val="00A77993"/>
    <w:rsid w:val="00A83451"/>
    <w:rsid w:val="00A84630"/>
    <w:rsid w:val="00A90281"/>
    <w:rsid w:val="00A908E7"/>
    <w:rsid w:val="00A93745"/>
    <w:rsid w:val="00A964E3"/>
    <w:rsid w:val="00AA6489"/>
    <w:rsid w:val="00AA683C"/>
    <w:rsid w:val="00AC0378"/>
    <w:rsid w:val="00AC2218"/>
    <w:rsid w:val="00AD0586"/>
    <w:rsid w:val="00AD7FDF"/>
    <w:rsid w:val="00AF6E16"/>
    <w:rsid w:val="00B005A5"/>
    <w:rsid w:val="00B02E52"/>
    <w:rsid w:val="00B06499"/>
    <w:rsid w:val="00B20C70"/>
    <w:rsid w:val="00B266D5"/>
    <w:rsid w:val="00B2715A"/>
    <w:rsid w:val="00B27EBC"/>
    <w:rsid w:val="00B40169"/>
    <w:rsid w:val="00B45841"/>
    <w:rsid w:val="00B51291"/>
    <w:rsid w:val="00B57E1C"/>
    <w:rsid w:val="00B70C7C"/>
    <w:rsid w:val="00B7381D"/>
    <w:rsid w:val="00B74690"/>
    <w:rsid w:val="00B856C3"/>
    <w:rsid w:val="00B90E5D"/>
    <w:rsid w:val="00B9630B"/>
    <w:rsid w:val="00BC47D6"/>
    <w:rsid w:val="00BC4F99"/>
    <w:rsid w:val="00BC5605"/>
    <w:rsid w:val="00BC6AA2"/>
    <w:rsid w:val="00BC7450"/>
    <w:rsid w:val="00BC7A13"/>
    <w:rsid w:val="00BD2918"/>
    <w:rsid w:val="00BE6118"/>
    <w:rsid w:val="00BF5CC9"/>
    <w:rsid w:val="00BF701A"/>
    <w:rsid w:val="00C03937"/>
    <w:rsid w:val="00C06541"/>
    <w:rsid w:val="00C07718"/>
    <w:rsid w:val="00C54AF6"/>
    <w:rsid w:val="00C55050"/>
    <w:rsid w:val="00C609F2"/>
    <w:rsid w:val="00C70134"/>
    <w:rsid w:val="00C734A3"/>
    <w:rsid w:val="00C8180D"/>
    <w:rsid w:val="00C8209E"/>
    <w:rsid w:val="00C835D5"/>
    <w:rsid w:val="00C91DAF"/>
    <w:rsid w:val="00C95879"/>
    <w:rsid w:val="00CA08B9"/>
    <w:rsid w:val="00CA69DA"/>
    <w:rsid w:val="00CB0155"/>
    <w:rsid w:val="00CB2950"/>
    <w:rsid w:val="00CD12DC"/>
    <w:rsid w:val="00CD7001"/>
    <w:rsid w:val="00CE1D06"/>
    <w:rsid w:val="00CE1F85"/>
    <w:rsid w:val="00CF1410"/>
    <w:rsid w:val="00CF7FA0"/>
    <w:rsid w:val="00D050B2"/>
    <w:rsid w:val="00D07899"/>
    <w:rsid w:val="00D1197E"/>
    <w:rsid w:val="00D12F62"/>
    <w:rsid w:val="00D15FD8"/>
    <w:rsid w:val="00D17D1E"/>
    <w:rsid w:val="00D3182F"/>
    <w:rsid w:val="00D36A2A"/>
    <w:rsid w:val="00D572A3"/>
    <w:rsid w:val="00D732EA"/>
    <w:rsid w:val="00D775FF"/>
    <w:rsid w:val="00D7790F"/>
    <w:rsid w:val="00D82853"/>
    <w:rsid w:val="00D83335"/>
    <w:rsid w:val="00D9189B"/>
    <w:rsid w:val="00D97082"/>
    <w:rsid w:val="00DA0F6A"/>
    <w:rsid w:val="00DA1EEB"/>
    <w:rsid w:val="00DA3348"/>
    <w:rsid w:val="00DB5E66"/>
    <w:rsid w:val="00DC7D5B"/>
    <w:rsid w:val="00DD51B9"/>
    <w:rsid w:val="00DD6E04"/>
    <w:rsid w:val="00DE00FA"/>
    <w:rsid w:val="00DE0D3B"/>
    <w:rsid w:val="00DE4574"/>
    <w:rsid w:val="00DF2482"/>
    <w:rsid w:val="00DF2E7C"/>
    <w:rsid w:val="00DF67FC"/>
    <w:rsid w:val="00E05D6C"/>
    <w:rsid w:val="00E10FB9"/>
    <w:rsid w:val="00E25B67"/>
    <w:rsid w:val="00E310D4"/>
    <w:rsid w:val="00E4138E"/>
    <w:rsid w:val="00E5202C"/>
    <w:rsid w:val="00E52AE3"/>
    <w:rsid w:val="00E5326A"/>
    <w:rsid w:val="00E54087"/>
    <w:rsid w:val="00E55B5A"/>
    <w:rsid w:val="00E73FAA"/>
    <w:rsid w:val="00E910D6"/>
    <w:rsid w:val="00E97613"/>
    <w:rsid w:val="00EA3556"/>
    <w:rsid w:val="00EA6526"/>
    <w:rsid w:val="00EC0A6D"/>
    <w:rsid w:val="00ED2FDB"/>
    <w:rsid w:val="00ED4459"/>
    <w:rsid w:val="00EF3BA4"/>
    <w:rsid w:val="00EF4FEF"/>
    <w:rsid w:val="00EF6E16"/>
    <w:rsid w:val="00F05BB4"/>
    <w:rsid w:val="00F05C05"/>
    <w:rsid w:val="00F10B5D"/>
    <w:rsid w:val="00F128CA"/>
    <w:rsid w:val="00F12B8F"/>
    <w:rsid w:val="00F14CC8"/>
    <w:rsid w:val="00F16367"/>
    <w:rsid w:val="00F232B7"/>
    <w:rsid w:val="00F24709"/>
    <w:rsid w:val="00F25604"/>
    <w:rsid w:val="00F2641D"/>
    <w:rsid w:val="00F3433C"/>
    <w:rsid w:val="00F35C6A"/>
    <w:rsid w:val="00F36E7D"/>
    <w:rsid w:val="00F4088C"/>
    <w:rsid w:val="00F42EB0"/>
    <w:rsid w:val="00F47045"/>
    <w:rsid w:val="00F67DB3"/>
    <w:rsid w:val="00F727A1"/>
    <w:rsid w:val="00F76870"/>
    <w:rsid w:val="00F82CF0"/>
    <w:rsid w:val="00F832DE"/>
    <w:rsid w:val="00F90058"/>
    <w:rsid w:val="00F91E3F"/>
    <w:rsid w:val="00F93DF0"/>
    <w:rsid w:val="00FA52F6"/>
    <w:rsid w:val="00FA70DA"/>
    <w:rsid w:val="00FB100E"/>
    <w:rsid w:val="00FB744C"/>
    <w:rsid w:val="00FC7768"/>
    <w:rsid w:val="00FE392E"/>
    <w:rsid w:val="00FF4527"/>
    <w:rsid w:val="034369E7"/>
    <w:rsid w:val="06A029F1"/>
    <w:rsid w:val="0EC31328"/>
    <w:rsid w:val="143878E9"/>
    <w:rsid w:val="26DD72EE"/>
    <w:rsid w:val="27880570"/>
    <w:rsid w:val="3029057D"/>
    <w:rsid w:val="32676495"/>
    <w:rsid w:val="33274478"/>
    <w:rsid w:val="376B70ED"/>
    <w:rsid w:val="3CE16AF2"/>
    <w:rsid w:val="3D421493"/>
    <w:rsid w:val="47FD3CCE"/>
    <w:rsid w:val="52527FCE"/>
    <w:rsid w:val="53CA238E"/>
    <w:rsid w:val="566D104D"/>
    <w:rsid w:val="58844537"/>
    <w:rsid w:val="5ACB7C5C"/>
    <w:rsid w:val="5B5E4F83"/>
    <w:rsid w:val="62262A5B"/>
    <w:rsid w:val="6401024A"/>
    <w:rsid w:val="65B75E9B"/>
    <w:rsid w:val="6A2B519A"/>
    <w:rsid w:val="732C4B0E"/>
    <w:rsid w:val="7414344D"/>
    <w:rsid w:val="760813EF"/>
    <w:rsid w:val="7D3248FA"/>
    <w:rsid w:val="7FF35673"/>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uiPriority="99" w:name="Normal Indent"/>
    <w:lsdException w:uiPriority="99"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qFormat="1" w:unhideWhenUsed="0" w:uiPriority="0" w:semiHidden="0"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uiPriority="1" w:name="Default Paragraph Font"/>
    <w:lsdException w:qFormat="1" w:uiPriority="99"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qFormat="1" w:unhideWhenUsed="0" w:uiPriority="0"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name="Balloon Text"/>
    <w:lsdException w:qFormat="1" w:unhideWhenUsed="0" w:uiPriority="0"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adjustRightInd w:val="0"/>
      <w:snapToGrid w:val="0"/>
      <w:spacing w:line="360" w:lineRule="auto"/>
      <w:ind w:firstLine="200" w:firstLineChars="200"/>
      <w:jc w:val="both"/>
    </w:pPr>
    <w:rPr>
      <w:rFonts w:ascii="Calibri" w:hAnsi="Calibri" w:eastAsia="宋体" w:cs="Times New Roman"/>
      <w:kern w:val="2"/>
      <w:sz w:val="24"/>
      <w:szCs w:val="22"/>
      <w:lang w:val="en-US" w:eastAsia="zh-CN" w:bidi="ar-SA"/>
    </w:rPr>
  </w:style>
  <w:style w:type="paragraph" w:styleId="4">
    <w:name w:val="heading 1"/>
    <w:basedOn w:val="1"/>
    <w:next w:val="1"/>
    <w:link w:val="24"/>
    <w:qFormat/>
    <w:uiPriority w:val="99"/>
    <w:pPr>
      <w:keepNext/>
      <w:keepLines/>
      <w:spacing w:beforeLines="50" w:afterLines="50"/>
      <w:ind w:firstLine="0" w:firstLineChars="0"/>
      <w:outlineLvl w:val="0"/>
    </w:pPr>
    <w:rPr>
      <w:rFonts w:ascii="Times New Roman" w:hAnsi="Times New Roman" w:eastAsia="黑体"/>
      <w:b/>
      <w:bCs/>
      <w:kern w:val="44"/>
      <w:sz w:val="36"/>
      <w:szCs w:val="44"/>
    </w:rPr>
  </w:style>
  <w:style w:type="paragraph" w:styleId="5">
    <w:name w:val="heading 2"/>
    <w:basedOn w:val="1"/>
    <w:next w:val="1"/>
    <w:link w:val="25"/>
    <w:qFormat/>
    <w:uiPriority w:val="99"/>
    <w:pPr>
      <w:keepNext/>
      <w:keepLines/>
      <w:ind w:firstLine="0" w:firstLineChars="0"/>
      <w:outlineLvl w:val="1"/>
    </w:pPr>
    <w:rPr>
      <w:rFonts w:ascii="Cambria" w:hAnsi="Cambria"/>
      <w:b/>
      <w:bCs/>
      <w:sz w:val="28"/>
      <w:szCs w:val="32"/>
    </w:rPr>
  </w:style>
  <w:style w:type="character" w:default="1" w:styleId="22">
    <w:name w:val="Default Paragraph Font"/>
    <w:semiHidden/>
    <w:unhideWhenUsed/>
    <w:uiPriority w:val="1"/>
  </w:style>
  <w:style w:type="table" w:default="1" w:styleId="20">
    <w:name w:val="Normal Table"/>
    <w:semiHidden/>
    <w:unhideWhenUsed/>
    <w:uiPriority w:val="99"/>
    <w:tblPr>
      <w:tblCellMar>
        <w:top w:w="0" w:type="dxa"/>
        <w:left w:w="108" w:type="dxa"/>
        <w:bottom w:w="0" w:type="dxa"/>
        <w:right w:w="108" w:type="dxa"/>
      </w:tblCellMar>
    </w:tblPr>
  </w:style>
  <w:style w:type="paragraph" w:styleId="2">
    <w:name w:val="Body Text"/>
    <w:basedOn w:val="1"/>
    <w:next w:val="3"/>
    <w:unhideWhenUsed/>
    <w:qFormat/>
    <w:uiPriority w:val="99"/>
    <w:pPr>
      <w:spacing w:after="120"/>
    </w:pPr>
  </w:style>
  <w:style w:type="paragraph" w:customStyle="1" w:styleId="3">
    <w:name w:val="Default"/>
    <w:qFormat/>
    <w:uiPriority w:val="0"/>
    <w:pPr>
      <w:widowControl w:val="0"/>
      <w:autoSpaceDE w:val="0"/>
      <w:autoSpaceDN w:val="0"/>
      <w:adjustRightInd w:val="0"/>
      <w:spacing w:line="260" w:lineRule="atLeast"/>
    </w:pPr>
    <w:rPr>
      <w:rFonts w:ascii="仿宋_GB2312" w:hAnsi="Calibri" w:eastAsia="仿宋_GB2312" w:cs="仿宋_GB2312"/>
      <w:color w:val="000000"/>
      <w:sz w:val="24"/>
      <w:szCs w:val="24"/>
      <w:lang w:val="en-US" w:eastAsia="zh-CN" w:bidi="ar-SA"/>
    </w:rPr>
  </w:style>
  <w:style w:type="paragraph" w:styleId="6">
    <w:name w:val="toc 7"/>
    <w:basedOn w:val="1"/>
    <w:next w:val="1"/>
    <w:qFormat/>
    <w:uiPriority w:val="99"/>
    <w:pPr>
      <w:ind w:left="1440"/>
      <w:jc w:val="left"/>
    </w:pPr>
    <w:rPr>
      <w:sz w:val="18"/>
      <w:szCs w:val="18"/>
    </w:rPr>
  </w:style>
  <w:style w:type="paragraph" w:styleId="7">
    <w:name w:val="toa heading"/>
    <w:basedOn w:val="1"/>
    <w:next w:val="1"/>
    <w:qFormat/>
    <w:uiPriority w:val="0"/>
    <w:pPr>
      <w:spacing w:before="120"/>
      <w:ind w:firstLine="480"/>
    </w:pPr>
    <w:rPr>
      <w:rFonts w:ascii="Arial" w:hAnsi="Arial"/>
    </w:rPr>
  </w:style>
  <w:style w:type="paragraph" w:styleId="8">
    <w:name w:val="toc 5"/>
    <w:basedOn w:val="1"/>
    <w:next w:val="1"/>
    <w:qFormat/>
    <w:uiPriority w:val="99"/>
    <w:pPr>
      <w:ind w:left="960"/>
      <w:jc w:val="left"/>
    </w:pPr>
    <w:rPr>
      <w:sz w:val="18"/>
      <w:szCs w:val="18"/>
    </w:rPr>
  </w:style>
  <w:style w:type="paragraph" w:styleId="9">
    <w:name w:val="toc 3"/>
    <w:basedOn w:val="1"/>
    <w:next w:val="1"/>
    <w:qFormat/>
    <w:uiPriority w:val="99"/>
    <w:pPr>
      <w:ind w:left="480"/>
      <w:jc w:val="left"/>
    </w:pPr>
    <w:rPr>
      <w:i/>
      <w:iCs/>
      <w:sz w:val="20"/>
      <w:szCs w:val="20"/>
    </w:rPr>
  </w:style>
  <w:style w:type="paragraph" w:styleId="10">
    <w:name w:val="toc 8"/>
    <w:basedOn w:val="1"/>
    <w:next w:val="1"/>
    <w:qFormat/>
    <w:uiPriority w:val="99"/>
    <w:pPr>
      <w:ind w:left="1680"/>
      <w:jc w:val="left"/>
    </w:pPr>
    <w:rPr>
      <w:sz w:val="18"/>
      <w:szCs w:val="18"/>
    </w:rPr>
  </w:style>
  <w:style w:type="paragraph" w:styleId="11">
    <w:name w:val="Balloon Text"/>
    <w:basedOn w:val="1"/>
    <w:link w:val="29"/>
    <w:semiHidden/>
    <w:qFormat/>
    <w:uiPriority w:val="99"/>
    <w:pPr>
      <w:spacing w:line="240" w:lineRule="auto"/>
    </w:pPr>
    <w:rPr>
      <w:sz w:val="18"/>
      <w:szCs w:val="18"/>
    </w:rPr>
  </w:style>
  <w:style w:type="paragraph" w:styleId="12">
    <w:name w:val="footer"/>
    <w:basedOn w:val="1"/>
    <w:link w:val="27"/>
    <w:qFormat/>
    <w:uiPriority w:val="99"/>
    <w:pPr>
      <w:tabs>
        <w:tab w:val="center" w:pos="4153"/>
        <w:tab w:val="right" w:pos="8306"/>
      </w:tabs>
      <w:adjustRightInd/>
      <w:spacing w:line="240" w:lineRule="auto"/>
      <w:ind w:firstLine="0" w:firstLineChars="0"/>
      <w:jc w:val="left"/>
    </w:pPr>
    <w:rPr>
      <w:sz w:val="18"/>
      <w:szCs w:val="18"/>
    </w:rPr>
  </w:style>
  <w:style w:type="paragraph" w:styleId="13">
    <w:name w:val="header"/>
    <w:basedOn w:val="1"/>
    <w:link w:val="26"/>
    <w:qFormat/>
    <w:uiPriority w:val="99"/>
    <w:pPr>
      <w:pBdr>
        <w:bottom w:val="single" w:color="auto" w:sz="6" w:space="1"/>
      </w:pBdr>
      <w:tabs>
        <w:tab w:val="center" w:pos="4153"/>
        <w:tab w:val="right" w:pos="8306"/>
      </w:tabs>
      <w:adjustRightInd/>
      <w:spacing w:line="240" w:lineRule="auto"/>
      <w:ind w:firstLine="0" w:firstLineChars="0"/>
      <w:jc w:val="center"/>
    </w:pPr>
    <w:rPr>
      <w:sz w:val="18"/>
      <w:szCs w:val="18"/>
    </w:rPr>
  </w:style>
  <w:style w:type="paragraph" w:styleId="14">
    <w:name w:val="toc 1"/>
    <w:basedOn w:val="1"/>
    <w:next w:val="1"/>
    <w:qFormat/>
    <w:uiPriority w:val="39"/>
    <w:pPr>
      <w:tabs>
        <w:tab w:val="left" w:pos="480"/>
        <w:tab w:val="right" w:leader="dot" w:pos="8296"/>
      </w:tabs>
      <w:spacing w:before="120" w:after="120"/>
      <w:ind w:firstLine="0" w:firstLineChars="0"/>
      <w:jc w:val="left"/>
    </w:pPr>
    <w:rPr>
      <w:b/>
      <w:bCs/>
      <w:caps/>
      <w:sz w:val="28"/>
      <w:szCs w:val="28"/>
    </w:rPr>
  </w:style>
  <w:style w:type="paragraph" w:styleId="15">
    <w:name w:val="toc 4"/>
    <w:basedOn w:val="1"/>
    <w:next w:val="1"/>
    <w:qFormat/>
    <w:uiPriority w:val="99"/>
    <w:pPr>
      <w:ind w:left="720"/>
      <w:jc w:val="left"/>
    </w:pPr>
    <w:rPr>
      <w:sz w:val="18"/>
      <w:szCs w:val="18"/>
    </w:rPr>
  </w:style>
  <w:style w:type="paragraph" w:styleId="16">
    <w:name w:val="toc 6"/>
    <w:basedOn w:val="1"/>
    <w:next w:val="1"/>
    <w:qFormat/>
    <w:uiPriority w:val="99"/>
    <w:pPr>
      <w:ind w:left="1200"/>
      <w:jc w:val="left"/>
    </w:pPr>
    <w:rPr>
      <w:sz w:val="18"/>
      <w:szCs w:val="18"/>
    </w:rPr>
  </w:style>
  <w:style w:type="paragraph" w:styleId="17">
    <w:name w:val="toc 2"/>
    <w:basedOn w:val="1"/>
    <w:next w:val="1"/>
    <w:qFormat/>
    <w:uiPriority w:val="39"/>
    <w:pPr>
      <w:ind w:left="240"/>
      <w:jc w:val="left"/>
    </w:pPr>
    <w:rPr>
      <w:smallCaps/>
      <w:sz w:val="20"/>
      <w:szCs w:val="20"/>
    </w:rPr>
  </w:style>
  <w:style w:type="paragraph" w:styleId="18">
    <w:name w:val="toc 9"/>
    <w:basedOn w:val="1"/>
    <w:next w:val="1"/>
    <w:qFormat/>
    <w:uiPriority w:val="99"/>
    <w:pPr>
      <w:ind w:left="1920"/>
      <w:jc w:val="left"/>
    </w:pPr>
    <w:rPr>
      <w:sz w:val="18"/>
      <w:szCs w:val="18"/>
    </w:rPr>
  </w:style>
  <w:style w:type="paragraph" w:styleId="19">
    <w:name w:val="Body Text First Indent"/>
    <w:basedOn w:val="2"/>
    <w:qFormat/>
    <w:uiPriority w:val="0"/>
    <w:pPr>
      <w:spacing w:after="0" w:line="560" w:lineRule="exact"/>
      <w:ind w:firstLine="721"/>
    </w:pPr>
    <w:rPr>
      <w:rFonts w:ascii="仿宋_GB2312" w:eastAsia="仿宋_GB2312" w:cs="黑体"/>
      <w:sz w:val="32"/>
      <w:szCs w:val="24"/>
    </w:rPr>
  </w:style>
  <w:style w:type="table" w:styleId="21">
    <w:name w:val="Table Grid"/>
    <w:basedOn w:val="20"/>
    <w:qFormat/>
    <w:locked/>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3">
    <w:name w:val="Hyperlink"/>
    <w:qFormat/>
    <w:uiPriority w:val="99"/>
    <w:rPr>
      <w:rFonts w:cs="Times New Roman"/>
      <w:color w:val="0000FF"/>
      <w:u w:val="single"/>
    </w:rPr>
  </w:style>
  <w:style w:type="character" w:customStyle="1" w:styleId="24">
    <w:name w:val="标题 1 字符"/>
    <w:link w:val="4"/>
    <w:qFormat/>
    <w:locked/>
    <w:uiPriority w:val="99"/>
    <w:rPr>
      <w:rFonts w:ascii="Times New Roman" w:hAnsi="Times New Roman" w:eastAsia="黑体" w:cs="Times New Roman"/>
      <w:b/>
      <w:bCs/>
      <w:kern w:val="44"/>
      <w:sz w:val="44"/>
      <w:szCs w:val="44"/>
    </w:rPr>
  </w:style>
  <w:style w:type="character" w:customStyle="1" w:styleId="25">
    <w:name w:val="标题 2 字符"/>
    <w:link w:val="5"/>
    <w:qFormat/>
    <w:locked/>
    <w:uiPriority w:val="99"/>
    <w:rPr>
      <w:rFonts w:ascii="Cambria" w:hAnsi="Cambria" w:eastAsia="宋体" w:cs="Times New Roman"/>
      <w:b/>
      <w:bCs/>
      <w:sz w:val="32"/>
      <w:szCs w:val="32"/>
    </w:rPr>
  </w:style>
  <w:style w:type="character" w:customStyle="1" w:styleId="26">
    <w:name w:val="页眉 字符"/>
    <w:link w:val="13"/>
    <w:qFormat/>
    <w:locked/>
    <w:uiPriority w:val="99"/>
    <w:rPr>
      <w:rFonts w:cs="Times New Roman"/>
      <w:sz w:val="18"/>
      <w:szCs w:val="18"/>
    </w:rPr>
  </w:style>
  <w:style w:type="character" w:customStyle="1" w:styleId="27">
    <w:name w:val="页脚 字符"/>
    <w:link w:val="12"/>
    <w:qFormat/>
    <w:locked/>
    <w:uiPriority w:val="99"/>
    <w:rPr>
      <w:rFonts w:cs="Times New Roman"/>
      <w:sz w:val="18"/>
      <w:szCs w:val="18"/>
    </w:rPr>
  </w:style>
  <w:style w:type="paragraph" w:customStyle="1" w:styleId="28">
    <w:name w:val="TOC 标题1"/>
    <w:basedOn w:val="4"/>
    <w:next w:val="1"/>
    <w:qFormat/>
    <w:uiPriority w:val="99"/>
    <w:pPr>
      <w:widowControl/>
      <w:adjustRightInd/>
      <w:snapToGrid/>
      <w:spacing w:before="480" w:line="276" w:lineRule="auto"/>
      <w:jc w:val="left"/>
      <w:outlineLvl w:val="9"/>
    </w:pPr>
    <w:rPr>
      <w:rFonts w:ascii="Cambria" w:hAnsi="Cambria" w:eastAsia="宋体"/>
      <w:color w:val="365F91"/>
      <w:kern w:val="0"/>
      <w:sz w:val="28"/>
      <w:szCs w:val="28"/>
    </w:rPr>
  </w:style>
  <w:style w:type="character" w:customStyle="1" w:styleId="29">
    <w:name w:val="批注框文本 字符"/>
    <w:link w:val="11"/>
    <w:semiHidden/>
    <w:qFormat/>
    <w:locked/>
    <w:uiPriority w:val="99"/>
    <w:rPr>
      <w:rFonts w:ascii="Calibri" w:hAnsi="Calibri" w:eastAsia="宋体" w:cs="Times New Roman"/>
      <w:sz w:val="18"/>
      <w:szCs w:val="18"/>
    </w:rPr>
  </w:style>
  <w:style w:type="paragraph" w:customStyle="1" w:styleId="30">
    <w:name w:val="无间隔1"/>
    <w:qFormat/>
    <w:uiPriority w:val="99"/>
    <w:pPr>
      <w:widowControl w:val="0"/>
      <w:adjustRightInd w:val="0"/>
      <w:snapToGrid w:val="0"/>
      <w:ind w:firstLine="200" w:firstLineChars="200"/>
      <w:jc w:val="both"/>
    </w:pPr>
    <w:rPr>
      <w:rFonts w:ascii="Calibri" w:hAnsi="Calibri" w:eastAsia="宋体" w:cs="Times New Roman"/>
      <w:kern w:val="2"/>
      <w:sz w:val="24"/>
      <w:szCs w:val="22"/>
      <w:lang w:val="en-US" w:eastAsia="zh-CN" w:bidi="ar-SA"/>
    </w:rPr>
  </w:style>
  <w:style w:type="paragraph" w:customStyle="1" w:styleId="31">
    <w:name w:val="列出段落1"/>
    <w:basedOn w:val="1"/>
    <w:qFormat/>
    <w:uiPriority w:val="34"/>
    <w:pPr>
      <w:ind w:firstLine="420"/>
    </w:pPr>
  </w:style>
  <w:style w:type="table" w:customStyle="1" w:styleId="32">
    <w:name w:val="TableGrid"/>
    <w:qFormat/>
    <w:uiPriority w:val="0"/>
    <w:rPr>
      <w:rFonts w:asciiTheme="minorHAnsi" w:hAnsiTheme="minorHAnsi" w:eastAsiaTheme="minorEastAsia" w:cstheme="minorBidi"/>
      <w:kern w:val="2"/>
      <w:sz w:val="21"/>
      <w:szCs w:val="22"/>
    </w:rPr>
    <w:tblPr>
      <w:tblCellMar>
        <w:top w:w="0" w:type="dxa"/>
        <w:left w:w="0" w:type="dxa"/>
        <w:bottom w:w="0" w:type="dxa"/>
        <w:right w:w="0" w:type="dxa"/>
      </w:tblCellMar>
    </w:tblPr>
  </w:style>
  <w:style w:type="paragraph" w:styleId="33">
    <w:name w:val="List Paragraph"/>
    <w:basedOn w:val="1"/>
    <w:qFormat/>
    <w:uiPriority w:val="99"/>
    <w:pPr>
      <w:ind w:firstLine="420"/>
    </w:pPr>
  </w:style>
  <w:style w:type="character" w:customStyle="1" w:styleId="34">
    <w:name w:val="fontstyle01"/>
    <w:basedOn w:val="22"/>
    <w:qFormat/>
    <w:uiPriority w:val="0"/>
    <w:rPr>
      <w:rFonts w:hint="eastAsia" w:ascii="宋体" w:hAnsi="宋体" w:eastAsia="宋体"/>
      <w:color w:val="000000"/>
      <w:sz w:val="22"/>
      <w:szCs w:val="22"/>
    </w:rPr>
  </w:style>
  <w:style w:type="paragraph" w:customStyle="1" w:styleId="35">
    <w:name w:val="WPSOffice手动目录 2"/>
    <w:qFormat/>
    <w:uiPriority w:val="0"/>
    <w:pPr>
      <w:ind w:left="200" w:leftChars="200"/>
    </w:pPr>
    <w:rPr>
      <w:rFonts w:ascii="Calibri" w:hAnsi="Calibri" w:eastAsia="宋体" w:cs="Times New Roman"/>
      <w:lang w:val="en-US" w:eastAsia="zh-CN" w:bidi="ar-SA"/>
    </w:rPr>
  </w:style>
  <w:style w:type="paragraph" w:customStyle="1" w:styleId="36">
    <w:name w:val="msolistparagraph"/>
    <w:basedOn w:val="1"/>
    <w:qFormat/>
    <w:uiPriority w:val="0"/>
    <w:pPr>
      <w:ind w:firstLine="420"/>
    </w:pPr>
    <w:rPr>
      <w:rFonts w:ascii="Times New Roman" w:hAnsi="Times New Roman"/>
      <w:sz w:val="21"/>
      <w:szCs w:val="24"/>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2.xml"/><Relationship Id="rId18" Type="http://schemas.openxmlformats.org/officeDocument/2006/relationships/customXml" Target="../customXml/item1.xml"/><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D55BB4D-CED0-4F2A-8E03-469C6D9B525F}">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11</Pages>
  <Words>3609</Words>
  <Characters>4040</Characters>
  <Lines>30</Lines>
  <Paragraphs>8</Paragraphs>
  <TotalTime>30</TotalTime>
  <ScaleCrop>false</ScaleCrop>
  <LinksUpToDate>false</LinksUpToDate>
  <CharactersWithSpaces>4056</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2023-04-08T15:48:00Z</dcterms:created>
  <dc:creator>admin</dc:creator>
  <cp:lastModifiedBy>jdzx034050</cp:lastModifiedBy>
  <cp:lastPrinted>2019-09-23T02:38:00Z</cp:lastPrinted>
  <dcterms:modified xsi:type="dcterms:W3CDTF">2023-04-10T11:09:27Z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4184343BAC2640C9A827D41B32EDA463_13</vt:lpwstr>
  </property>
</Properties>
</file>